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E-5429/2007 vom 24. Februar 2011</w:t>
      </w:r>
    </w:p>
    <w:p>
      <w:r>
        <w:t>Bundesverwaltungsgericht, 2011-02-24, DE</w:t>
      </w:r>
    </w:p>
    <w:p>
      <w:r>
        <w:rPr>
          <w:b/>
        </w:rPr>
        <w:t xml:space="preserve">Quelle: </w:t>
      </w:r>
      <w:r>
        <w:t>https://mcp.opencaselaw.ch/entscheid/bvger_E-5429_2007</w:t>
      </w:r>
    </w:p>
    <w:p>
      <w:r>
        <w:t>FR: TAF E-5429/2007 du 24 février 2011</w:t>
      </w:r>
    </w:p>
    <w:p>
      <w:r>
        <w:t>IT: TAF E-5429/2007 del 24 febbraio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Be­schwerdeführenden sind durch die angefochtenen Verfügungen besonders berührt und haben ein schutzwürdiges Interesse an deren Aufhebung bezie­hungsweise Änderung. Die Beschwerdeführenden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Bst. C Ziff. 1 - 6 FK vorliegen. Art. 1 Bst. C FK beinhaltet die Beendigungsklauseln be­treffend den Flüchtlingsstatus. Namentlich fällt eine Person unter an­derem nicht mehr unter die Bestimmungen der FK und ihr Flücht­lingsstatus endet, wenn sie sich freiwillig wieder unter den Schutz des Landes, dessen Staatsangehörigkeit sie besitzt, gestellt hat (Art. 1 Bst. C Ziff. 1 FK).</w:t>
      </w:r>
    </w:p>
    <w:p>
      <w:r>
        <w:rPr>
          <w:b/>
        </w:rPr>
        <w:t>E. 4.1</w:t>
      </w:r>
    </w:p>
    <w:p>
      <w:r>
        <w:t>Das Bundesamt begründete seine Verfügungen im Wesentlichen damit, dass gemäss (immer noch gültiger) Rechtsprechung der ARK (publiziert in Entscheidungen und Mitteilungen der Schweizerischen Asylrekurskommission [EMARK] 1996 Nr. 7) für die Anwendung von Art. 1 Bst. C Ziffer 1 FK drei Voraussetzungen gegeben sein müssten: So müsse die Handlung des Flüchtlings freiwillig und ohne äusseren Zwang erfolgt sein, die betroffene Person müsse in der Absicht gehandelt haben, sich dem Schutz des Heimatlandes zu unterstellen, und diese Schutzgewährung müsse schliesslich tatsächlich erfolgt sein. Diese drei Voraussetzungen seien vorliegend gegeben. So seien die Beschwerdeführenden bei der Einreise am Flughafen Zürich kontrolliert worden, wobei die irakischen Ein- und Ausreisestempel im jeweiligen Reisedokument der Beschwerdeführenden eindeutig beweisen würden, dass sie am 19. März 2007 (recte: 2006; Einreise) und am 4. April 2007 (recte: 2006; Ausreise) die irakische Grenzkontrolle durchquert hätten und sich in der Zwischenzeit im Irak aufhielten. Die Stempel erhalte man unbestreitbar nur dann, wenn das Territorium dieses Staates tatsächlich betreten oder verlassen werde. Die Behauptung, wonach die Beschwerdeführenden lediglich bis zum türkischen Checkpoint gelangt seien, entbehre jeder Grundlage. Was die nachgereichte Hotelbestätigung anbelange, sei darauf zu verweisen, dass solche Dokumente ohne weiteres unrechtmässig erworben werden könnten, weshalb ihr Beweiswert äusserst gering sei. In der Vernehmlassung hielt die Vorinstanz sodann fest, dass es völlig unlogisch erscheine, wenn in den ans BFM gerichteten Stellungnahmen der Beschwerdeführenden vom 5. April 2007 behauptet werde, sie hätten den türkischen Checkpoint am Grenzübergang E._______ passiert, dort ihre Reiseausweise hinterlegt und drei Wochen später bei der Rückerstattung derselben den irakischen Ausreisestempel (am türkischen Checkpoint) erhalten. Es müsse aber zwingend davon ausgegangen werden, dass man am türkischen Checkpoint einen türkischen und nicht eine irakischen Ein- bzw. Ausreisestempel erhalte.</w:t>
      </w:r>
    </w:p>
    <w:p>
      <w:r>
        <w:rPr>
          <w:b/>
        </w:rPr>
        <w:t>E. 4.2</w:t>
      </w:r>
    </w:p>
    <w:p>
      <w:r>
        <w:t>In der Rechtsmitteleingabe wird im Wesentlichen geltend gemacht, die Voraussetzungen für den Asylwiderruf seien nicht erfüllt und die Beschwerdeführenden hätten den Irak nie betreten. So seien die Stempeleinträge in den Reiseausweisen in ihren Stellungnahmen zureichend erklärt worden. Bekannt sei zudem, dass viele Grenzbeamte der Türkei, des Irak und Syriens regelmässig Bestechungen zugänglich seien. Es treffe weiter zu, dass seit der Invasion der US-Koalition gewöhnliche irakische Staatsangehörige, welche im Irak Wohnsitz hätten, von den türkischen Behörden nicht einmal ein Visum als Tourist oder für einen Familienbesuch erhielten. Die Vorinstanz verwerfe die Argumente pauschal, anstatt vor Ort Recherchen anzustellen, was unter anderem auch die Offizialmaxime verletze. So sei auch nicht gerechtfertigt, die von ihnen beigebrachten Beweismittel für den Aufenthalt im Hotel in D._______ ohne Abklärungen vor Ort als "unrechtmässig erworben" abzutun und deren Beweiswert als gering zu werten. Die angefochtenen Entscheide seien sodann als unangemessen und unverhältnismässig zu beurteilen. Der einmal gewährte Flüchtlingsstatus dürfe nur unter äusserst restriktiv anzuwendenden Voraussetzungen aufgehoben werden. Zudem reiche ein blosser Aufenthalt auf dem Territorium des Heimatstaates für einen Asylwiderruf nicht aus, da damit in der Regel keine Inanspruchnahme des Schutzes des Heimatstaates verbunden sei. Diese Praxis der ARK sei bis zum heutigen Zeitpunkt nicht revidiert worden.</w:t>
      </w:r>
    </w:p>
    <w:p>
      <w:r>
        <w:rPr>
          <w:b/>
        </w:rPr>
        <w:t>E. 4.2.1</w:t>
      </w:r>
    </w:p>
    <w:p>
      <w:r>
        <w:t>Die Beschwerdeführenden machen insbesondere eine Verletzung des Untersuchungsgrundsatzes der Vorinstanz geltend, da eine allenfalls ungenügende Erhebung eine materielle Beurteilung verunmöglichen würde. Der Untersuchungsgrundsatz gehört zu den allgemeinen Grundsätzen des Asylverfahrens (vgl. Art. 12 VwVG i.V.m. Art. 6 AsylG). Das heisst, die Asylbehörde hat den rechtserheblichen Sachverhalt vor ihrem Entscheid von Amtes wegen vollständig und richtig abzuklären. Dabei muss sie die für das Verfahren erforderlichen Sachverhaltsunterlagen beschaffen und die rechtlich relevanten Umstände abklären und darüber ordnungsgemäss Beweis führen.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Entscheide des Bundesverwaltungsgerichts [BVGE] 2009/50 E. 10.2.1, EMARK 1995 Nr. 23 E. 5a S. 222). Bezogen auf den vorliegenden Fall zeigt sich, dass das BFM der Untersuchungspflicht in hinreichendem Masse nachgekommen ist und nicht gehalten war, den Sachverhalt weiter zu ermitteln, zumal die Gegebenheiten keine Zweifel am wahren Sachverhalt zulassen. Die Vorinstanz war auch nicht verpflichtet, die Bestätigung des Hotels genauer zu überprüfen sowie vor Ort Recherchen anzustellen. Die bestehenden Fakten und Beweismittel erforderten keine weiteren Abklärungen. Die Verletzung der Untersuchungspflicht durch das BFM liegt somit nicht vor.</w:t>
      </w:r>
    </w:p>
    <w:p>
      <w:r>
        <w:rPr>
          <w:b/>
        </w:rPr>
        <w:t>E. 4.2.2</w:t>
      </w:r>
    </w:p>
    <w:p>
      <w:r>
        <w:t>Des Weiteren rügen die Beschwerdeführenden, die Vorinstanz sei der Begründungspflicht nicht hinreichend nachgekommen. Der Grundsatz des rechtlichen Gehörs - der im hier interessierenden Kontext auf den Bestimmungen von Art. 29 Abs. 2 der Bundesverfassung der Schweizerischen Eidgenossenschaft vom 18. April 1999 (BV, SR 101) sowie Art. 29 VwVG und Art. 32 Abs. 1 VwVG beruht - verlangt zudem, dass die verfügende Behörde die Vorbringen des Betroffenen tatsächlich hört, sorgfältig und ernsthaft prüft und in der Entscheidfindung berücksichtigt, was sich entsprechend in der Entscheidbegründung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vgl. zum Ganzen auch Jörg Paul Müller/Markus Schefer, Grundrechte in der Schweiz: im Rahmen der Bundesverfassung, der EMRK und der UNO- Pakte, 4. Aufl., Bern 2008, S. 868 und S. 885 ff.; EMARK 2006 Nr. 24 E. 5.1 S. 256).Im vorliegenden Fall führt die Vorinstanz in der angefochtenen Verfügung im Rahmen der Sachverhaltszusammenfassung die wesentlichen Vorbringen der Beschwerdeführenden auf. Auch wenn die Vorinstanz in relativ knappen Erwägungen die von ihnen geltend gemachten Aussagen, sie hätten nicht irakisches Territorium betreten, würdigt, geht doch in genügender Weise hervor, dass sie diese Aspekte als nicht glaubhaft erachtet. Die Begründung des BFM ist damit ausreichend dicht und erlaubt es, die Beweggründe, welche zum Asylwiderruf geführt haben, in einer Weise nachzuvollziehen, die eine sachgerechte Anfechtung der Verfügungen möglich macht, was nicht zuletzt durch die vorliegende Beschwerde deutlich gemacht wird. Auch vor diesem Hintergrund ist eine Verletzung des rechtlichen Gehörs im Sinne der Verletzung der Begründungspflicht nicht festzustellen.</w:t>
      </w:r>
    </w:p>
    <w:p>
      <w:r>
        <w:rPr>
          <w:b/>
        </w:rPr>
        <w:t>E. 4.2.3</w:t>
      </w:r>
    </w:p>
    <w:p>
      <w:r>
        <w:t>Weiter wird gerügt, das BFM habe den Beschwerdeführenden zu Unrecht die Flüchtlingseigenschaft aberkennt und deren Asyl widerrufen. Unbestritten ist, dass die Reiseausweise der Beschwerdeführenden mit Einreise- und Ausreisestempel vom 19. März 2006 und 7. April 2006 von den irakischen Grenzbehörden versehen wurden. Die Beschwerdeführenden bestreiten jedoch, in den Irak eingereist zu sein beziehungsweise das irakische Territorium zwischen dem 19. März 2007 und 7. April 2007 jemals betreten zu haben. Wie bereits erwähnt, geht das BFM davon aus, dass die Be­schwerdeführenden sich vom 19. März 2006 bis zum 7. April 2006 im Irak aufgehalten haben. Dabei stützt es sich auf die von den irakischen Grenzbehörden vorgenommenen Einträge der entsprechenden Daten in den Reisepässen. Das von den Beschwerdeführenden entgegengebrachte Argument, ein Stempel im Reisepass könne aus unterschiedlichen Gründen und aufgrund unterschiedlicher Umstände angebracht worden sein, vermag die Tatsache, dass es sich eindeutig um eine Einreise- bzw. Ausreisedokumentation handeln muss, nicht zu entkräften. Es ist für das Gericht nicht nachvollziehbar, weshalb die Beschwerdeführenden einen Stempel haben eintragen lassen, zumal sie dem Risiko bewusst waren, dass ein Ein- und Ausreisestempel ihren Asylstatus in der Schweiz gefährden könnte. Dagegen spricht auch die Erklärung der Beschwerdeführenden, dass viele Grenzbeamte der Türkei, des Irak und Syriens regelmässig Bestechungen zugänglich seien. Weiter machen die Beschwerdeführenden geltend, dass türkische Behörden kein Einreisevisum für irakische Touristen ausstellen würden. Es erscheint realitätsfremd, dass die Beschwerdeführenden ihre Pässe mit einem irakischen Stempeleintrag haben versehen lassen müssen, um ihren Grosseltern die Einreise in die Türkei zu ermöglichen. Diese Erklärung lässt den Verdacht aufkommen, konstruiert worden zu sein, um ihre Einreise nicht preisgeben zu müssen. Des Weiteren reichten die Beschwerdeführenden eine Bestätigung eines Hotels in D._______ namens (...) zu den Akten, welche den ausschliesslichen Aufenthalt auf türkischem Territorium bestätigen soll. Nach Prüfung dieses Schreibens fällt auf, dass dieses nicht den Eindruck einer gängigen Hotelbestätigung macht, zumal ein entsprechendes Logo auf dem Schreiben und auf dem Umschlag fehlt, die schnörkelige Schrift für den Geschäftsverkehr unüblich ist und der auf dem Couvert aufgeführte Adressat Fragen aufwirft. So vermerkte das Hotel "Schweizerland" als Adressaten. Es ist davon auszugehen, dass eine im Hotelfach ausgebildete Person englisch geschriebene Ländernamen korrekt wiedergeben kann, zumal sie stets im internationalen Kontakt steht und dafür ausgebildet wurde. Gemäss internen Abklärungen existiert sodann in D._______ zwar ein (...), aber dieses Hotel verfügt über eine andere Telefonnummer und Schreibweise als auf der Bestätigung angegeben. Sämtliche Nummern von D._______ beginnen nämlich mit der örtlichen Vorwahl (...) und nicht mit "209". Zudem sind auf dem Bestätigungsschreiben die Beschwerdeführenden und eine weitere Person aufgelistet, welche sich im besagten Hotel aufgehalten haben sollen, was sich nicht mit den Aussagen deckt, dass die Beschwerdeführenden in der Türkei ihre Grosseltern (mithin zwei Personen) getroffen hätten, um das Einverständnis zur Hochzeit der Beschwerdeführerin 3 einzuholen. Gemäss diesen Erwägungen ist die eingereichte Bestätigung höchstens als Gefälligkeitsschreiben ohne Beweiswert zu qualifizieren. Das Argument der Beschwerdeführenden, die Vorinstanz habe im Rahmen des Verfahrens, welches zur Asylgewährung geführt habe, die Glaubhaftigkeit ihrer Vorbringen nie angezweifelt, kann nicht auf das vorliegende Verfahren übertragen werden. Die Vorbringen der Beschwerdeführenden, sie hätten beim Grenzübergang E._______ ihre Grosseltern abgeholt, um in der Türkei Zeit miteinander zu verbringen und das Einverständnis zur Heirat der Beschwerdeführerin 3 einzuholen, vermag den Anforderungen an die Glaubhaftigkeit nicht zu genügen; insbesondere ist nicht nachvollziehbar, dass die Beschwerdeführenden einen solch grossen Aufwand betrieben haben sollten, um lediglich die Einwilligung zur Eheschliessung zu erhalten. Eine fehlende Einwilligung einer Hochzeit durch die Grosseltern hätte in der Schweiz ohnehin kein Ehehindernis dargestellt. Auch die Tatsache, dass der zukünftige Ehegatte den Grosseltern weder vorgestellt wurde, noch mit in den Irak reiste, lässt ebenfalls daran zweifeln, dass die Reise zum Zwecke der Hochzeitseinwilligung unternommen wurde. Ihre Behauptung auf Beschwerdeebene, sie hätten irakisches Territorium nie überschritten, kann daher nicht geglaubt werden. Das Gericht geht deshalb davon aus, dass die Beschwerdeführenden in den Irak eingereist sind, um ihre Heimat und dort lebende Verwandte und Bekannte zu besuchen.</w:t>
      </w:r>
    </w:p>
    <w:p>
      <w:r>
        <w:rPr>
          <w:b/>
        </w:rPr>
        <w:t>E. 5.1.1</w:t>
      </w:r>
    </w:p>
    <w:p>
      <w:r>
        <w:t>Im Folgenden ist zu prüfen, ob sich die Beschwerdeführenden freiwillig unter den Schutz des Landes, dessen Staatsangehörigkeit sie besitzen, gestellt haben (Art. 1 C Ziff. 1 FK). Dies erfordert - wie die Vorinstanz zutreffend ausgeführt hat - das kumulative Vorliegen dreier Vor­aussetzungen: Die Beschwerdeführenden müssen freiwillig in Kontakt mit ihrem Heimatland getreten sein, in der Absicht, von ihrem Heimatland Schutz in Anspruch zu nehmen, und dieser muss ihnen tatsächlich gewährt worden sein (vgl. BVGE 2012/17 E. 5.11 S. 202 mit Verweis auf EMARK 2002 Nr. 8 E. 8 S. 65). Gemäss dem soeben Ausgeführten müssen die Beschwerdeführenden - als Grundvoraussetzung für die Aberkennung der Flüchtlingseigenschaft und den Widerruf des Asyls - mit ihrem Heimatland in Kontakt getreten sein. Im vorliegenden Fall kommt als Form der Kontaktaufnahme die vom Bundesamt erwähnte Heimatreise der Beschwerdeführenden in Betracht.</w:t>
      </w:r>
    </w:p>
    <w:p>
      <w:r>
        <w:rPr>
          <w:b/>
        </w:rPr>
        <w:t>E. 5.1.2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der vorstehenden Erwägung erwähnten drei Voraussetzungen in ihrer Gesamtheit erfüllt sind. Entfällt eine dieser drei Voraussetzungen, ist von der Aberkennung der Flüchtlingseigenschaft und vom Widerruf des Asyls abzusehen (vgl. BVGE 2010/17 E. 5.12 S. 202 mit Verweis auf EMARK 1996 Nr. 12 E. 7 S. 101 f.)</w:t>
      </w:r>
    </w:p>
    <w:p>
      <w:r>
        <w:rPr>
          <w:b/>
        </w:rPr>
        <w:t>E. 5.2.1</w:t>
      </w:r>
    </w:p>
    <w:p>
      <w:r>
        <w:t>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E.5.2.1 S. 202 mit Verweis auf EMARK 1996 Nr. 12 E. 8a S. 103).</w:t>
      </w:r>
    </w:p>
    <w:p>
      <w:r>
        <w:rPr>
          <w:b/>
        </w:rPr>
        <w:t>E. 5.2.2</w:t>
      </w:r>
    </w:p>
    <w:p>
      <w:r>
        <w:t>Wie bereits dargelegt, geht das Gericht von einer Heimreise der Beschwerdeführenden aus, welche nicht aufgrund moralischen oder seelischen Druckes unternommen wurde, weshalb von der Freiwilligkeit dieser Heimatreise auszugehen ist. Noch im Jahr 2002 wurde festgehalten, aufgrund der speziellen politischen Situation im Nordirak stelle eine Reise dorthin keine Kontaktnahme mit dem Heimatstaat dar. Die Situation nach dem Sturz des Regimes von Saddam Hussein stellt sich jedoch insofern wesentlich verändert dar, als im Rahmen der Bildung einer neuen irakischen Regierung den kurdischen Nordprovinzen unter dem Dach des irakischen Gesamtstaates weitgehende Autonomie zugestanden wurde (vgl. BVGE 2010/17 E.5.2.2 S. 203 mit Verweis auf EMARK 2006 Nr. 19). Mit der Reise der Beschwerdeführenden in den Nordirak fand somit auch ein Kontakt mit dem Heimatstaat statt.</w:t>
      </w:r>
    </w:p>
    <w:p>
      <w:r>
        <w:rPr>
          <w:b/>
        </w:rPr>
        <w:t>E. 5.2.3</w:t>
      </w:r>
    </w:p>
    <w:p>
      <w:r>
        <w:t>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BVGE 2010/17 E.5.2.2 S. 201 mit Verweis auf EMARK 1996 Nr. 12 E. 8b S. 103). Wie bereits vorstehend ausgeführt, ist davon auszugehen, dass die Beschwerdeführenden freiwillig in den Irak gereist sind. Es handelt sich somit um Verwandtenbesuche, die die Beschwerdeführenden nicht auf Grund moralischen oder seelischen Drucks vorgenommen haben. Sollten die Beschwerdeführenden auch aufgrund einer Heiratseinwilligung in den Irak gereist sein, vermag diese Tatsache keinen derartigen Druck zu begründen. Die Beschwerdeführenden haben somit durch ihre Reise und das damit verbundene Verhalten (regulär erfolgte und mit entsprechender Grenzkontrolle verbundene Grenzüberschreitung im Einverständnis mit den irakischen Behörden) klar zum Ausdruck gebracht, dass sie sich freiwillig unter den Schutz des Landes, dessen Staatsangehörigkeit sie besitzen, gestellt haben.</w:t>
      </w:r>
    </w:p>
    <w:p>
      <w:r>
        <w:rPr>
          <w:b/>
        </w:rPr>
        <w:t>E. 5.3</w:t>
      </w:r>
    </w:p>
    <w:p>
      <w:r>
        <w:t>Als drittes Kriterium muss der Heimatstaat den Beschwerdeführenden effektiv Schutz gewährt haben. Dieses Kriterium ist erfüllt, wenn objektive Anhaltspunkte dafür bestehen, dass die betreffende Person tatsächlich nicht mehr gefährdet ist. Diese Anhaltspunkte können vorwiegend in entsprechenden Handlungen des Heimatstaates gesehen werden (vgl. BVGE 2010/17 E.5.3 S. 204 mit Verweis auf EMARK 1996 Nr. 12 E. 8c S. 104). In diesem Zusammenhang kann auf den Entscheid des Bundesverwaltungsgerichts BVGE 2008/4 hingewiesen werden. Darin wurde festgehalten, dass die Behörden der drei nordirakischen Provinzen grundsätzlich in der Lage und willens sind, den Einwohnern Schutz vor Verfolgung zu gewähren. Jedenfalls bestehen dadurch, dass die Beschwerdeführenden offenbar problemlos in den Irak einreisen, sich dort vom 19. März 2006 bis 7. April 2006 aufhalten und in der Folge wieder ungehindert aus dem Land ausreisen konnten, objektive Anhaltspunkte dafür, dass sie im Irak bereits damals nicht mehr gefährdet beziehungsweise effektiv geschützt waren. Den Beschwerdeführenden wurde somit vom Irak effektiver Schutz gewährt.</w:t>
      </w:r>
    </w:p>
    <w:p>
      <w:r>
        <w:rPr>
          <w:b/>
        </w:rPr>
        <w:t>E. 5.4</w:t>
      </w:r>
    </w:p>
    <w:p>
      <w:r>
        <w:t>Somit sind vorliegend alle in Art. 1 C Ziff. 1 FK respektive Art. 63 Abs. 1 Bst. b AsylG statuierten Voraussetzungen für eine Aberkennung der Flüchtlingseigenschaft und den damit verbundenen Widerruf des Asyls erfüllt. Die vom BFM gestützt auf Art. 63 Abs. 1 Bst. b AsylG verfügte Aberkennung der Flüchtlingseigenschaft und der Widerruf des Asyls erfolgten daher zu Recht und erweisen sich - entgegen der Behauptung der Beschwerdeführenden - als angemessen und verhältnis­mässig.</w:t>
      </w:r>
    </w:p>
    <w:p>
      <w:r>
        <w:rPr>
          <w:b/>
        </w:rPr>
        <w:t>E. 6</w:t>
      </w:r>
    </w:p>
    <w:p>
      <w:r>
        <w:t>Aus diesen Erwägungen ergibt sich, dass die angefochtenen Verfügungen Bundesrecht nicht verletzen, den rechtserheblichen Sachverhalt richtig und vollständig feststellen und angemessen sind (Art. 106 AsylG). Die Beschwerde ist nach dem Gesagten abzuweisen.</w:t>
      </w:r>
    </w:p>
    <w:p>
      <w:r>
        <w:rPr>
          <w:b/>
        </w:rPr>
        <w:t>E. 7</w:t>
      </w:r>
    </w:p>
    <w:p>
      <w:r>
        <w:t>Bei diesem Ausgang des Verfahrens sind die Kosten den Beschwerdeführenden aufzuerlegen (Art. 63 Abs. 1 und 5 VwVG), auf insgesamt Fr. 1000.- festzusetzen (Art. 1-3 des Reglements vom 21. Februar 2008 über die Kosten und Entschädigungen vor dem Bundesverwaltungsgericht (VGKE, SR 173.320.2), und mit dem am 30. August 2007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