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E-5428/2013 vom 9. Oktober 2013</w:t>
      </w:r>
    </w:p>
    <w:p>
      <w:r>
        <w:t>Bundesverwaltungsgericht, 2013-10-09, DE</w:t>
      </w:r>
    </w:p>
    <w:p>
      <w:r>
        <w:rPr>
          <w:b/>
        </w:rPr>
        <w:t xml:space="preserve">Quelle: </w:t>
      </w:r>
      <w:r>
        <w:t>https://mcp.opencaselaw.ch/entscheid/bvger_E-5428_2013</w:t>
      </w:r>
    </w:p>
    <w:p>
      <w:r>
        <w:t>FR: TAF E-5428/2013 du 9 octobre 2013</w:t>
      </w:r>
    </w:p>
    <w:p>
      <w:r>
        <w:t>IT: TAF E-5428/2013 del 9 ottobre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2</w:t>
      </w:r>
    </w:p>
    <w:p>
      <w:r>
        <w:t>Am 28. September 2012 änderte die Bundesversammlung gestützt auf Art. 165 Abs. 1 der Bundesverfassung der Schweizerischen Eidgenossenschaft vom 18. April 1999 (BV, SR 101) das AsylG durch den Erlass eines dringlichen Bundesgesetzes. Diese Änderungen traten am 29. September 2012 in Kraft (vgl. AS 2012 5359, BBl 2012 8261) und betreffen unter anderem die Beschwerdefristen gemäss Art. 108 Abs. 2 AsylG. War bisher lediglich für Beschwerden gegen Nichteintretensentscheide und Entscheide am Flughafen nach Art. 23 Abs. 1 AsylG eine Beschwerdefrist von fünf Arbeitstagen vorgesehen, so gilt diese Frist nach neuem Recht auch für Verfügungen des BFM nach Art. 40 in Verbindung mit Art. 6a Abs. 2 Bst. a AsylG. Dabei handelt es sich - im Gegensatz zu formellen Nichteintretensentscheiden nach Art. 34 Abs. 1 AsylG in Verbindung mit Art. 6a Abs. 2 Bst. a AsylG - um materielle negative Entscheide betreffend Asylsuchende aus verfolgungssicheren Staaten (sog. safe countries). Solche Entscheide werden ohne weitere Abklärungen erlassen, weil aufgrund der Anhörung offenkundig geworden ist, dass die Asylsuchenden ihre Flüchtlingseigenschaft weder beweisen noch glaubhaft machen können und ihrer Wegweisung keine Gründe entgegenstehen. Art. 40 AsylG betrifft den Fall, dass nach der Anhörung keine weiteren Abklärungen zur Beurteilung der Flüchtlingseigenschaft und der Wegweisung sowie deren Vollzugs vonnöten sind. Hingegen steht die Bestimmung einer detaillierten Auseinandersetzung mit den Vorbringen von Asylsuchenden nicht entgegen; vielmehr ist eine solche aufgrund der Begründungspflicht des BFM und mit Blick auf das Recht auf wirksame Beschwerde geboten, wenngleich Art. 40 Abs. 2 AsylG eine summarische Begründung genügen lässt. Vorliegend hat die Vorinstanz Art. 108 Abs. 2 AsylG in der seit dem 29. Sep­tember 2012 geltenden Fassung auf den vorliegenden Fall zu Recht angewendet. Da den Beschwerdeführenden eine Beschwerdeerhebung innert der (verkürzten) Frist möglich war, stand die Frist gemäss Art. 108 Abs. 2 AsylG einer sachgerechten Anfechtung nicht entgegen. 3.1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 3.2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führte zur Begründung seines ablehnenden Entscheides aus, die von den Beschwerdeführenden geltend gemachten Benachteiligungen wegen ihrer Zugehörigkeit zur Minderheit der Roma (Beschimpfungen und Schikanen sowie die Aufforderung das Dorf zu verlassen, einmaliger tätlicher Angriff, Vergiftung des Vieh) seitens der serbischen Dorfbewohner von H._______, seien als solche privater Dritter zu qualifizieren. Betreffend die Lage der ethnischen Minderheiten in Serbien sei festzuhalten, dass sich deren Situation im Zuge des demokratischen Wandels entspannt habe. Am 25. Februar 2002 sei das Bundesgesetz zum Schutz und zur Freiheit der nationalen Minoritäten in Kraft getreten, wobei es sich um einen gesetzlichen Rahmen handle, der die Rechte der nationalen Minderheiten und der Angehörigen von ethnischen Minderheiten schütze. Auch die Roma würden als nationale Minderheit anerkannt. Gemäss dem Minderheitengesetz würden die Minoritäten das Recht auf Schulbildung in der Muttersprache, das Recht auf den Gebrauch der Muttersprache als Amtssprache sowie das Recht auf Information in eigener Sprache erhalten. Vorgesehen sei zudem, dass die nationalen Minderheiten in öffentlichen Ämtern proportional vertreten seien. Zwar könnten vereinzelte Übergriffe durch Drittpersonen auf Roma nicht restlos ausgeschlossen werden. Allerdings komme solchen Verfolgungsmassnahmen in der Regel keine asylrelevante Intensität zu. Zudem billige oder unterstütze der Staat solche Übergriffe nicht. Die im Sachverhalt dargelegten Vorfälle würden auch in Serbien Straftatbestände darstellen, die strafrechtlich zur Verfolgung gelangten. In einzelnen Fällen könne es zwar vorkommen, dass Behördenvertreter mit niederen Chargen die notwendigen Untersuchungsmassnahmen trotz wiederholten Intervenierens nicht einleiteten. Es bestehe jedoch die Möglichkeit, gegen fehlbare Beamte auf dem Rechtsweg vorzugehen und die zustehenden Rechte bei höheren Instanzen einzufordern. Der serbische Staat sei bestrebt, Verfehlungen von Beamten zu ahnden. Die Beschwerdeführenden hätten in diesem Zusammenhang selbst angegeben, dass sich die Polizei korrekt verhalten habe, sie nach der tätlichen Auseinandersetzung vom 6. Dezember 2012 vor Ort erschienen sei und die am Streit beteiligten Personen zur Ruhe ermahnt sowie mit den serbischen Nachbarn gesprochen habe. Damit habe die Polizei ihre Bereitschaft gezeigt, für Ruhe und Ordnung zu sorgen und allfällige Straftaten zu untersuchen beziehungsweise zu verhindern. Demnach sei es dem Beschwerdeführer - entgegen seiner Meinung - möglich und zumutbar gewesen, sich gegen die verbalen und tätlichen Angriffe seitens der Nachbarn mit Nachdruck - namentlich mit einer Anzeige - zur Wehr zu setzen respektive gegen die mutmasslich pflichtwidrig handelnden Beamten auf dem Rechtsweg vorzugehen. Da demnach ein adäquater Schutz durch den Heimatstaat vorhanden sei, seien die geltend gemachten Übergriffe beziehungsweise die Furcht vor solchen vorliegend asylirrelevant.</w:t>
      </w:r>
    </w:p>
    <w:p>
      <w:r>
        <w:rPr>
          <w:b/>
        </w:rPr>
        <w:t>E. 4.2</w:t>
      </w:r>
    </w:p>
    <w:p>
      <w:r>
        <w:t>Wie das BFM, kommt auch das Bundesverwaltungsgericht zum Schluss, dass die Vorbringen der Beschwerdeführenden aus den von der Vorinstanz dargelegten Gründen als asylrechtlich nicht relevant qualifiziert werden müssen. Diesbezüglich kann zur Vermeidung von Wiederholungen auf die als zutreffend erachteten Erwägungen in der angefochtenen Verfügung verwiesen werden. In der Beschwerde wird demgegenüber nichts vorgebracht, was eine andere Betrachtungsweise rechtfertigen würde. So wiederholen die Beschwerdeführenden den Sachverhalt und legen im Wesentlichen nochmals ihre Beweggründe für die Ausreise aus Serbien wegen der Benachteiligungen aufgrund ihrer Ethnie und des angeblich fehlenden Schutzwillens der Sicherheitskräfte dar. Ergänzend ist zu erwähnen, dass der Bundesrat Serbien mit Beschluss vom 19. März 2009 ab dem 1. April 2009 als "Safe Country" bezeichnete, womit er insbesondere dessen Einhaltung der Menschenrechte sowie die Anwendung internationaler Konventionen im Menschenrechtsbereich bestätigte. Weitere Verbesserungen der menschenrechtlichen Lage folgten: Am 26. März 2009 erfolgte die Verabschiedung eines Anti-Diskriminierungsgesetzes, welches am 1. Januar 2010 in Kraft trat, am 31. August 2009 erging das Gesetz über nationale Minderheiten, welches den Minderheiten grosse Autonomie in den Bereichen Sprache, Bildung und Kultur gewährt, und am 6. Juni 2010 wurden die ersten Wahlen für diese Räte durchgeführt. Vereinzelte Übergriffe durch Drittpersonen gegen Roma können aber weiterhin nicht ausgeschlossen werden. Es ist jedoch noch einmal zu betonen, dass der serbische Staat solche Übergriffe weder billigt noch unterstützt, sondern sich - entgegen der in der Beschwerdeschrift geäusserten Ansicht - grundsätzlich als schutzwillig und schutzfähig erweist und Vorfälle strafrechtlich verfolgt. So konnten in jüngster Zeit in Bezug auf polizeiliche Untersuchungen bei inter-ethnischen Vorfällen Verbesserungen verzeichnet werden. Trotz politischer Sensibilisierung in diesem Bereich und Massnahmen zur Stärkung der Effizienz der Polizeiarbeit, kann es aber vorkommen, dass polizeilich untergeordnete Behörden bei einer Anzeige die notwendigen Untersuchungsmassnahmen nicht einleiten. In solchen Fällen besteht jedoch die Möglichkeit, gegen fehlbare Beamte auf dem Rechtsweg vorzugehen. So wurden nach den Erkenntnissen des Bundesverwaltungsgerichts auch bereits vereinzelte, ethnisch motivierte Übergriffe gerichtlich verfolgt (vgl. bspw. Urteil des Bundesverwaltungsgerichts D-912/2011 vom 16. Juni 2011 E. 6). Diesbezüglich sind die vorinstanzlichen Erwägungen vollumfänglich zu stützen, wonach der serbische Staat schutzwillig und schutzfähig sei. Das Gericht geht denn auch nicht von einer Kollektivverfolgung der Roma in Serbien aus.</w:t>
      </w:r>
    </w:p>
    <w:p>
      <w:r>
        <w:rPr>
          <w:b/>
        </w:rPr>
        <w:t>E. 4.3</w:t>
      </w:r>
    </w:p>
    <w:p>
      <w:r>
        <w:t>Schliesslich sind auch die angeführten Probleme mit den heimatlichen Schulbehörden mangels Intensität als nicht asylrelevant zu erachten. Den Beschwerdeführenden steht es überdies offen, der Schuldirektion oder einer Vereinigung zum Schutz der Rechte der Roma solche Vorkommnisse zu melden und nötigenfalls ihre Intervention zu erbitten.</w:t>
      </w:r>
    </w:p>
    <w:p>
      <w:r>
        <w:rPr>
          <w:b/>
        </w:rPr>
        <w:t>E. 4.4</w:t>
      </w:r>
    </w:p>
    <w:p>
      <w:r>
        <w:t>Zusammenfassend ist festzuhalten, dass die Vorbringen der Beschwerdeführenden den Anforderungen an die Flüchtlingseigenschaft von Art. 3 AsylG nicht genügen. Das BFM hat demnach die Asylgesuche der Beschwerdeführenden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Beschwerdeführenden verfügen weder über eine ausländerrechtliche Aufenthaltsbewilligung noch über einen Anspruch auf Erteilung einer solchen. Die Wegweisung wurde demnach zu Recht angeordnet (Art. 44 Abs. 1 AsylG; vgl. BVGE 2009/50 E. 9 m.w.H.).</w:t>
      </w:r>
    </w:p>
    <w:p>
      <w:r>
        <w:rPr>
          <w:b/>
        </w:rPr>
        <w:t>E. 6.1</w:t>
      </w:r>
    </w:p>
    <w:p>
      <w:r>
        <w:t>Ist der Vollzug der Wegweisung nicht zulässig, nicht zumutbar oder nicht möglich, so regelt das Bundesamt das Anwesenheitsverhältnis nach den gesetzlichen Bestimmungen über die vorläufige Aufnahme (Art. 44 Abs. 2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S. 502, m.w.H.). 6.2.1 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 6.2.2 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Serbien ist demnach unter dem Aspekt von Art. 5 AsylG und Art. 33 FK rechtmässig. Weder aus den Aussagen der Beschwerdeführenden noch aus den Akten ergeben sich Anhaltspunkte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Dies ist vorliegend nicht der Fall. Es besteht kein konkreter Anlass zur Annahme, den Beschwerdeführenden würde bei einer Rückkehr in ihr Heimatland eine menschenrechtswidrige Behandlung drohen. Auch die allgemeine Menschenrechtssituation in Serbien - Serbien gilt seit dem 1. April 2009 als "Safe Country" - lässt den Wegweisungsvollzug zum heutigen Zeitpunkt nicht als unzulässig erscheinen. 6.2.3 Was die in den ärztlichen Unterlagen bei der Tochter der Beschwerdeführerin diagnostizierten gesundheitlichen Probleme betrifft, so kann gemäss der Praxis des EGMR der Vollzug der Wegweisung eines abgewiesenen Asylsuchenden mit gesundheitlichen Problemen im Einzelfall einen Verstoss gegen Art. 3 EMRK darstellen; hierfür sind jedoch ganz aussergewöhnliche Umstände Voraussetzung (vgl. EMARK 2005 Nr. 23 E. 5.1. S. 211 f., mit einer Zusammenfassung der Rechtsprechung des EGMR). Vorliegend können solche ganz aussergewöhnlichen Umstände ("very exceptional circumstances"), wie sie der EGMR in seinem Urteil vom 2. Mai 1997 i.S. D. gegen Grossbritannien feststellte, wo neben einer kurzen Lebenserwartung aufseiten des an AIDS erkrankten Auszuweisenden erschwerend die Gefahr eines Todes unter extremen physischen und psychischen Leiden hinzukam, ausgeschlossen werden (vgl. BVGE 2011/9 E. 7.1 S. 117 f., BVGE 2009/2 E. 9.1.3). 6.2.4 Nach dem Gesagten ist der Vollzug der Wegweisung sowohl im Sinne der asyl- als auch der völkerrechtlichen Bestimmungen zulässig.</w:t>
      </w:r>
    </w:p>
    <w:p>
      <w:r>
        <w:rPr>
          <w:b/>
        </w:rPr>
        <w:t>E. 6.3.1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6.3.2</w:t>
      </w:r>
    </w:p>
    <w:p>
      <w:r>
        <w:t>Die allgemeine Lage in Serbien ist weder von Bürgerkrieg noch von allgemeiner Gewalt gekennzeichnet, so dass der Vollzug der Wegweisung dorthin grundsätzlich zumutbar scheint. Bezüglich der beim BFM eingereichten Berichte zum Gesundheitszustand der Beschwerdeführerin betreffend die vorbestandene (...), die (...) und die (...) (vgl. Bst. A S. 3), kann vollumfänglich auf die nicht zu beanstandenden vorinstanzlichen Ausführungen in der Verfügung verwiesen werden, wonach die gesundheitlichen Probleme - falls notwendig - in Serbien weiter behandelt werden können. Aus den auf Beschwerdeebene eingereichten weiteren Dokumenten ("Überweisungsformular/Medizinische Informationen") des (...) vom 16. September 2013 und vom 25. September 2013 geht lediglich hervor, dass die Beschwerdeführerin mittlerweile an einen für solche Leiden spezialisierten Dienst im Spital G._______ weiter verwiesen worden ist und dort behandelt wird. Dass sie jedoch im Falle einer Rückkehr nach Serbien konkret gefährdet wäre, ist diesen Attesten nicht zu entnehmen. Zudem haben die gesundheitlichen Probleme der Beschwerdeführerin bereits in Serbien vorbestanden und wurden dort behandelt, was sie auch nicht bestreitet. In diesem Zusammenhang ist darauf hinzuweisen, dass aufgrund gesundheitlicher Probleme eines abgewiesenen Asylsuchenden nur dann auf Unzumutbarkeit des Wegweisungsvollzugs geschlossen werden kann, wenn eine notwendige medizinische Behandlung im Heimatland nicht zur Verfügung steht und die Rückkehr zu einer raschen und lebensgefährdenden Beeinträchtigung des Gesundheitszustandes der betroffenen Person führt. Dabei wird als wesentlich die allgemeine und dringende medizinische Behandlung erachtet, welche zur Gewährleistung einer menschenwürdigen Existenz absolut notwendig ist. Unzumutbarkeit liegt jedenfalls dann nicht vor, wenn im Heimat- oder Herkunftsstaat eine nicht an schweizerischen Standard entsprechende medizinische Behandlung möglich ist. Wenn die notwendige Behandlung im Heimat- oder Herkunftsstaat sichergestellt ist, so ist der Vollzug der Wegweisung Unzumutbarkeit liegt jedenfalls dann nicht vor, wenn im Heimat- oder Herkunftsstaat eine nicht an schweizerischen Standard entsprechende medizinische Behandlung möglich ist. Wenn die notwendige Behandlung im Heimat- oder Herkunftsstaat sichergestellt ist, so ist der Vollzug der Wegweisung als zumutbar zu beurteilen (vgl. BVGE 2009/2 E. 9.3.2). Auch wenn in Serbien der Standard der Behandlung von physisch und psychisch Erkrankten nicht dem schweizerischen Standard entsprechen sollte, ist dennoch grundsätzlich davon auszugehen, dass es der Beschwerdeführerin (wieder) möglich sein wird, die notwendigen ärztlichen Behandlungen zu erhalten. Ebenso wenig vermögen die geltend gemachten gesundheitlichen Probleme des Beschwerdeführers zu einem anderen Schluss führen, zumal ihm deswegen bereits in seinem Heimatland eine regelmässige ärztliche Kontrolle (alle drei Monate) empfohlen wurde (vgl. Akten BFM A10 S. 10 A: 89 f.). Dem Bundesverwaltungsgericht ist sodann bekannt, dass die Roma in Serbien noch immer mit erschwerten Lebensbedingungen zu kämpfen haben. Blosse soziale und wirtschaftliche Erschwernisse stellen jedoch für sich alleine noch keine existenzbedrohende Situation dar, welche den Wegweisungsvollzug als unzumutbar erscheinen liesse, weshalb - entgegen der Auffassung der Beschwerdeführenden - aufgrund der alleinigen Zugehörigkeit zu den Roma keine Unzumutbarkeit des Wegweisungsvollzuges angenommen wird. Zwar kann sich der Zugang zu Wohnraum für Roma als schwierig erweisen. Vorliegend ist aber den Akten zufolge davon auszugehen, dass die Beschwerdeführenden, die neben ihrer Muttersprache Serbisch auch wenig Rom und wenig Griechisch sprechen, nach wie vor über ein tragfähiges Beziehungsnetz und eine Erwerbsmöglichkeit verfügen (vgl. A4 S. 4 f.; A5 S. 5; A10 S. 3). Es darf davon ausgegangen werden, dass sie - in Berücksichtigung der Berufserfahrungen des Beschwerdeführers - in der Lage sein werden, sich eine (erneute) Existenz aufzubauen. Weiter ist anzuführen, dass serbische Staatsangehörige - falls sie nicht in einem Arbeitsverhältnis stehen - grundsätzlich kostenlosen Zugang zu medizinischer Versorgung erhalten; gewisse Leistungen müssen allerdings selbst beglichen werden.</w:t>
      </w:r>
    </w:p>
    <w:p>
      <w:r>
        <w:rPr>
          <w:b/>
        </w:rPr>
        <w:t>E. 6.3.4</w:t>
      </w:r>
    </w:p>
    <w:p>
      <w:r>
        <w:t>Sodann steht auch das Kindeswohl (vgl. dazu BVGE 2009/28 E. 9.3.2 S. 367 f.) einem Vollzug der Wegweisung nicht entgegen, zumal sich die Familie erst seit kurzer Zeit in der Schweiz befindet und somit klarerweise nicht von einer hiesigen Verwurzelung der drei Kinder ausgegangen werden kann. Insgesamt erweist sich der Vollzug der Wegweisung somit als zumutbar (vgl. BVGE 2009/51 E. 5.6 S. 749).</w:t>
      </w:r>
    </w:p>
    <w:p>
      <w:r>
        <w:rPr>
          <w:b/>
        </w:rPr>
        <w:t>E. 6.4</w:t>
      </w:r>
    </w:p>
    <w:p>
      <w:r>
        <w:t>Schliesslich obliegt es den Beschwerdeführenden,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6.5</w:t>
      </w:r>
    </w:p>
    <w:p>
      <w:r>
        <w:t>Zusammenfassend hat die Vorinstanz den Wegweisungsvollzug zu Recht als zulässig, zumutbar und möglich erachtet. Eine Anordnung der vorläufigen Aufnahme fällt somit ausser Betracht (Art. 83 Abs. 1-4 AuG).</w:t>
      </w:r>
    </w:p>
    <w:p>
      <w:r>
        <w:rPr>
          <w:b/>
        </w:rPr>
        <w:t>E. 7</w:t>
      </w:r>
    </w:p>
    <w:p>
      <w:r>
        <w:t>Aus diesen Erwägungen ergibt sich, dass die angefochtene Verfügung Bundesrecht nicht verletzt, den rechtserheblichen Sachverhalt richtig und vollständig feststellt und angemessen ist (Art. 106 Abs. 1 AsylG). Die Beschwerde ist abzuweisen. 8.1 Mit vorliegendem Direktentscheid wird das Gesuch um Erlass des Kostenvorschusses gegenstandslos. 8.2 Das Gesuch um Gewährung der unentgeltlichen Prozessführung gemäss Art. 65 Abs. 1 VwVG ist, ungeachtet der Frage der prozessualen Bedürftigkeit, abzuweisen, da die Beschwerdebegehren nach dem Gesagten als aussichtslos zu erachten sind. Bei diesem Ausgang des Verfahrens sind die Kosten den Beschwerdeführenden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