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E-5427/2022 vom 1. Dezember 2022</w:t>
      </w:r>
    </w:p>
    <w:p>
      <w:r>
        <w:t>Bundesverwaltungsgericht, 2022-12-01, FR</w:t>
      </w:r>
    </w:p>
    <w:p>
      <w:r>
        <w:rPr>
          <w:b/>
        </w:rPr>
        <w:t xml:space="preserve">Quelle: </w:t>
      </w:r>
      <w:r>
        <w:t>https://mcp.opencaselaw.ch/entscheid/bvger_E-5427_2022</w:t>
      </w:r>
    </w:p>
    <w:p>
      <w:r>
        <w:t>FR: TAF E-5427/2022 du 1 décembre 2022</w:t>
      </w:r>
    </w:p>
    <w:p>
      <w:r>
        <w:t>IT: TAF E-5427/2022 del 1 dicembre 2022</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Le Tribunal de céans est par conséquent compétent pour connaître du recours.</w:t>
      </w:r>
    </w:p>
    <w:p>
      <w:r>
        <w:rPr>
          <w:b/>
        </w:rPr>
        <w:t>E. 1.4</w:t>
      </w:r>
    </w:p>
    <w:p>
      <w:r>
        <w:t>L'intéressée a qualité pour recourir (art. 48 al. 1 PA, applicable par renvoi de l'art. 37 LTAF). Interjeté dans la forme (art. 52 al. 1 PA) et le délai (art. 108 al. 3 LAsi) prescrits par la loi, le recours est recevable.</w:t>
      </w:r>
    </w:p>
    <w:p>
      <w:r>
        <w:rPr>
          <w:b/>
        </w:rPr>
        <w:t>E. 2</w:t>
      </w:r>
    </w:p>
    <w:p>
      <w:r>
        <w:t>Saisi d'un recours contre une décision de non-entrée en matière sur une demande d'asile, le Tribunal se limite à en examiner le bien-fondé (cf. ATAF 2014/39 consid. 2).</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3.4</w:t>
      </w:r>
    </w:p>
    <w:p>
      <w:r>
        <w:t>Dans une procédure de reprise en charge (anglais : take back), comme en l'espèce, il n'y a en principe aucun nouvel examen de la compétence selon le chapitre III du règlement Dublin III (cf. ATAF 2019 VI/7 consid. 4-6 ; 2017 VI/5 consid. 6.2 et 8.2.1). L'Etat membre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w:t>
      </w:r>
    </w:p>
    <w:p>
      <w:r>
        <w:rPr>
          <w:b/>
        </w:rPr>
        <w:t>E. 4.1</w:t>
      </w:r>
    </w:p>
    <w:p>
      <w:r>
        <w:t>En l'occurrence, comme exposé précédemment, les investigations entreprises par le SEM ont révélé, après consultation de la base de données « Eurodac », que la recourante a déposé une demande d'asile en Croatie le 29 août 2022.</w:t>
      </w:r>
    </w:p>
    <w:p>
      <w:r>
        <w:rPr>
          <w:b/>
        </w:rPr>
        <w:t>E. 4.2</w:t>
      </w:r>
    </w:p>
    <w:p>
      <w:r>
        <w:t>Le 21 septembre 2022, le SEM a dès lors soumis aux autorités croates, dans le délai fixé à l'art. 23 par. 2 du règlement Dublin III, une requête aux fins de reprise en charge, fondée sur l'art. 18 par. 1 let. b du règlement Dublin III.</w:t>
      </w:r>
    </w:p>
    <w:p>
      <w:r>
        <w:rPr>
          <w:b/>
        </w:rPr>
        <w:t>E. 4.3</w:t>
      </w:r>
    </w:p>
    <w:p>
      <w:r>
        <w:t>Le 5 octobre 2022, lesdites autorités ont expressément accepté de reprendre en charge la recourante sur la base de l'art. 20 par. 5 du règlement Dublin III, reconnaissant ainsi leur compétence pour traiter la demande d'asile de l'intéressée.</w:t>
      </w:r>
    </w:p>
    <w:p>
      <w:r>
        <w:rPr>
          <w:b/>
        </w:rPr>
        <w:t>E. 5.1</w:t>
      </w:r>
    </w:p>
    <w:p>
      <w:r>
        <w:t>En vertu de l'art. 3 par. 2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En principe, la Croatie est présumée respecter ses obligations tirées du droit international public, en particulier le principe de non-refoulement énoncé expressément à l'art. 33 de la Convention du 28 juillet 1951 relative au statut des réfugiés (CR ; RS 0.142.30), ainsi que l'interdiction des mauvais traitements ancrée aux art. 3 CEDH et 3 de la Convention du 10 décembre 1984 contre la torture et autres peines ou traitements cruels, inhumains ou dégradants (CCT ;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no 2013/32/CE du Parlement européen et du Conseil du 26 juin 2013 relative à des procédures communes pour l'octroi et le retrait de la protection internationale [refonte ; JO L 180/60 du 29.06.2013 ; ci-après : directive Procédure] et directive n° 2013/33/UE du Parlement européen et du Conseil du 26 juin 2013 établissant des normes pour l'accueil des personnes demandant la protection internationale [refonte ; JO L 180/96 du 29.06.2013 ; ci-après : directive Accueil] ; en ce sens, cf. arrêts du Tribunal F-3061/2021 du 9 juillet 2021 consid. 5.2 ; E-711/2021 du 11 mars 2021 consid. 4.2.1 [transferts Dublin vers la Croatie]).</w:t>
      </w:r>
    </w:p>
    <w:p>
      <w:r>
        <w:rPr>
          <w:b/>
        </w:rPr>
        <w:t>E. 5.3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5.4</w:t>
      </w:r>
    </w:p>
    <w:p>
      <w:r>
        <w:t>Le Tribunal considère que, nonobstant les prises de position critiques de plusieurs organisations non gouvernementales (ONG) et organismes - notamment le Conseil de l'Europe -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arrêts du Tribunal E-4622/2022 du 14 octobre 2022 et jurisp. cit.). C'est dire que la recourante ne peut tirer argument de l'arrêt de référence E-3078/2019 du 12 juillet 2019 qui, d'une part, n'a pas considéré que le système mis en place par la Croatie présentait des défaillances systémiques et, d'autre part, concernait la problématique des prises en charge Dublin.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 saurait être renversée.</w:t>
      </w:r>
    </w:p>
    <w:p>
      <w:r>
        <w:rPr>
          <w:b/>
        </w:rPr>
        <w:t>E. 5.5</w:t>
      </w:r>
    </w:p>
    <w:p>
      <w:r>
        <w:t>Par conséquent, l'application de l'art. 3 par. 2 du règlement Dublin III ne se justifie pas en l'espèce.</w:t>
      </w:r>
    </w:p>
    <w:p>
      <w:r>
        <w:rPr>
          <w:b/>
        </w:rPr>
        <w:t>E. 6.1</w:t>
      </w:r>
    </w:p>
    <w:p>
      <w:r>
        <w:t>Pour s'opposer à son transfert vers la Croatie, l'intéressée a indiqué qu'elle n'avait pas demandé l'asile en Croatie, mais qu'elle y avait été forcée de déposer ses empreintes digitales. Elle a également dit avoir été maltraitée par les autorités croates. Elle a notamment fait état d'une absence d'égards à son endroit de la part des policiers croates, lesquels l'auraient fait monter avec vingt autres personnes dans un véhicule trop petit et dans lequel elle pouvait à peine respirer, l'auraient enfermée dans une pièce où il faisait très froid et ne lui auraient pas donner à manger. De plus, elle s'est plainte du racisme dont les habitants auraient fait preuve à son égard, comme le fait de l'avoir aspergée de parfum dans un supermarché sous prétexte qu'elle sentait mauvais ou d'avoir refusé de lui vendre des produits alimentaires. Atteinte dans sa santé physique et psychique, elle devrait, selon elle, être considérée comme particulièrement vulnérable en cas de transfert. Elle a également soutenu qu'elle ne pourrait bénéficier des soins nécessaires au sein des structures médicales croates. En outre, elle a émis des doutes quant à l'accès à une procédure d'asile équitable et respectueuse des droits fondamentaux. Elle invoque ainsi une violation de l'art. 17 par. 1 du règlement Dublin III en lien avec les art. 3 et 13 CEDH ainsi que 3 CCT, ainsi qu'en lien avec l'art. 29a al. 3 de l'ordonnance 1 sur l'asile du 11 août 1999 (OA 1, RS 142.311). Elle estime en outre que le SEM a contrevenu à l'art. 2 de la Convention du 18 décembre 1979 sur l'élimination de toutes les formes de discrimination à l'égard des femmes (RS 0.108 ; ci-après : CEDEF).</w:t>
      </w:r>
    </w:p>
    <w:p>
      <w:r>
        <w:rPr>
          <w:b/>
        </w:rPr>
        <w:t>E. 6.2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et 2012/4 consid. 2.4).</w:t>
      </w:r>
    </w:p>
    <w:p>
      <w:r>
        <w:rPr>
          <w:b/>
        </w:rPr>
        <w:t>E. 6.3</w:t>
      </w:r>
    </w:p>
    <w:p>
      <w:r>
        <w:t>Selon la jurisprudence de la Cour européenne des droits de l'homme (ci-après : CourEDH ; cf. Paposhvili c. Belgique, arrêt de la Grande Chambre du 13 décembre 2016 [req. no 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Cour de Justice de l'Union européenne [CJUE] du 16 février 2017 en l'affaire C-578/16, par. 66 à 68 ainsi qu'ATAF 2017 VI/7 consid. 6.2).</w:t>
      </w:r>
    </w:p>
    <w:p>
      <w:r>
        <w:rPr>
          <w:b/>
        </w:rPr>
        <w:t>E. 6.4</w:t>
      </w:r>
    </w:p>
    <w:p>
      <w:r>
        <w:t>La recourante n'a pas démontré que sa demande de protection déposée en Croatie ne serait pas traitée conformément aux dispositions légales applicables dans ce pays et à la directive Procédure. Dans son cas, rien ne permet de considérer que les autorités croates refuseraient de mener à terme sa procédure d'asile. Les problèmes, évoqués dans le recours, concernant la situation générale en Croatie en lien avec la procédure d'asile (cf. supra, consid. 5.4) ne sauraient infléchir ce raisonnement. En outre, la recourante n'a fourni aucun élément susceptible de démontrer que la Croatie ne respecterait pas le principe de non-refoulement, et donc faillirait à ses obligations internationales en la renvoyant dans un pays où sa vie, son intégrité corporelle ou sa liberté seraient sérieusement menacées, ou encore d'où elle risquerait d'être astreinte à se rendre dans un tel pays.</w:t>
      </w:r>
    </w:p>
    <w:p>
      <w:r>
        <w:rPr>
          <w:b/>
        </w:rPr>
        <w:t>E. 6.5</w:t>
      </w:r>
    </w:p>
    <w:p>
      <w:r>
        <w:t>L'intéressée n'a pas non plus apporté d'indices suffisants qu'elle serait privée durablement, en Croatie, des conditions matérielles prévues par la directive Accueil et qu'elle ne pourrait au besoin y faire valoir ses droits. Elle n'a en particulier pas démontré que ses conditions d'existence dans ce pays revêtiraient un tel degré de pénibilité et de gravité qu'elles seraient constitutives d'un traitement contraire à l'art. 3 CEDH ou encore à l'art. 3 CCT. Les jugements et rapports cités à l'appui du recours ne sauraient suffire à cet égard. Les mauvais traitements que l'intéressée aurait subis en Croatie ne sont pas étayés. Si la recourante devait toutefois, à l'issue de son transfert en Croatie, être contrainte par les circonstances à mener une existence non conforme à la dignité humaine, ou si elle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(cf. arrêt du TribunalF-1543/2018 du 19 mars 2018 consid. 6.2 ainsi que art. 26 Directive Accueil).</w:t>
      </w:r>
    </w:p>
    <w:p>
      <w:r>
        <w:rPr>
          <w:b/>
        </w:rPr>
        <w:t>E. 6.6.1</w:t>
      </w:r>
    </w:p>
    <w:p>
      <w:r>
        <w:t>Compte tenu de la jurisprudence restrictive en la matière, il y a lieu de considérer que les problèmes de santé évoqués par la recourante (principalement un problème gastrique parasitaire [Blastocystis Hominis] et un trouble de stress post-traumatique [PTSD] soigné par un traitement à base de Quetiapine), que le Tribunal ne minimise pas, ne sont pas d'une gravité telle qu'il se justifierait de renoncer à son transfert vers la Croatie (cf., à ce sujet, arrêt de la CourEDH Paposhvili précité). En effet, force est de constater que les examens médicaux subis, les diagnostics posés et les traitements prescrits ne sont pas révélateurs de maladies d'une gravité ou d'une spécificité telle qu'elles ne pourraient pas être traitées en Croatie (sur les possibilités de prise en charge médicale dans le domaine de l'asile en Croatie, cf. arrêts du Tribunal D-1418/2022 du 4 avril 2022 consid. 5.3.6 et D-1241/2022 du 25 mars 2022 p. 7).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6.6.2</w:t>
      </w:r>
    </w:p>
    <w:p>
      <w:r>
        <w:t>Dès lors, il y a lieu de retenir que l'état de santé de la recourante ne fait pas obstacle à l'exécution de son transfert vers la Croatie.</w:t>
      </w:r>
    </w:p>
    <w:p>
      <w:r>
        <w:rPr>
          <w:b/>
        </w:rPr>
        <w:t>E. 6.6.3</w:t>
      </w:r>
    </w:p>
    <w:p>
      <w:r>
        <w:t>Cela étant, le cas échéant, il incombera aux autorités suisses chargées de l'exécution du transfert de transmettre à leurs homologues croates, en temps utile, les renseignements permettant une prise en charge médicale adéquate de la recourante (cf. art. 31 et 32 du règlement Dublin III), celle-ci ayant donné son accord écrit à la transmission d'informations médicales.</w:t>
      </w:r>
    </w:p>
    <w:p>
      <w:r>
        <w:rPr>
          <w:b/>
        </w:rPr>
        <w:t>E. 6.7</w:t>
      </w:r>
    </w:p>
    <w:p>
      <w:r>
        <w:t>Enfin, si certaines dispositions de la CEDEF sont considérées en doctrine comme directement applicables (cf. ATF 137 I 305 consid. 3.2 p. 318 et réf. cit.), tel n'est pas le cas de son art. 2, qui constitue une norme programmatique à l'attention du législateur national. La recourante ne saurait donc s'en prévaloir pour s'opposer à son transfert vers la Croatie. Cela dit, elle n'a en rien démontré que son transfert l'exposerait à des formes graves de discrimination ou de violence en raison de sa qualité de femme.</w:t>
      </w:r>
    </w:p>
    <w:p>
      <w:r>
        <w:rPr>
          <w:b/>
        </w:rPr>
        <w:t>E. 6.8</w:t>
      </w:r>
    </w:p>
    <w:p>
      <w:r>
        <w:t>Par conséquent, le transfert de l'intéressée vers la Croatie n'est pas contraire aux obligations découlant de dispositions conventionnelles auxquelles la Suisse est liée.</w:t>
      </w:r>
    </w:p>
    <w:p>
      <w:r>
        <w:rPr>
          <w:b/>
        </w:rPr>
        <w:t>E. 6.9</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6.10</w:t>
      </w:r>
    </w:p>
    <w:p>
      <w:r>
        <w:t>Il convient encore de rappeler que le fait que l'intéressée ne souhaitait pas déposer sa demande en Croatie ne change rien. Le règlement Dublin III ne confère en effet pas aux demandeurs d'asile le droit de choisir l'Etat membre offrant, à leur avis, les meilleures conditions d'accueil comme Etat responsable de l'examen de leur demande d'asile (cf. ATAF 2010/45 consid. 8.3).</w:t>
      </w:r>
    </w:p>
    <w:p>
      <w:r>
        <w:rPr>
          <w:b/>
        </w:rPr>
        <w:t>E. 7</w:t>
      </w:r>
    </w:p>
    <w:p>
      <w:r>
        <w:t>C'est ainsi à bon droit que l'autorité inférieure n'est pas entrée en matière sur la demande d'asile de l'intéressée, en application de l'art. 31a al. 1 let. b LAsi, et a prononcé son transfert de Suisse vers la Croatie, en application de l'art. 44 LAsi, aucune exception à la règle générale du renvoi n'étant réalisée (art. 32 OA 1). Par conséquent, le recours doit être rejeté.</w:t>
      </w:r>
    </w:p>
    <w:p>
      <w:r>
        <w:rPr>
          <w:b/>
        </w:rPr>
        <w:t>E. 8</w:t>
      </w:r>
    </w:p>
    <w:p>
      <w:r>
        <w:t>S'avérant manifestement infondé, il l'est dans une procédure à juge unique, avec l'approbation d'un second juge (art. 111 let. e LAsi). Il est dès lors renoncé à un échange d'écritures (art. 111a al. 1 LAsi).</w:t>
      </w:r>
    </w:p>
    <w:p>
      <w:r>
        <w:rPr>
          <w:b/>
        </w:rPr>
        <w:t>E. 9.1</w:t>
      </w:r>
    </w:p>
    <w:p>
      <w:r>
        <w:t>Dans la mesure où il est immédiatement statué sur le fond, les demandes tendant à l'octroi de l'effet suspensif ainsi qu'à la dispense du versement d'une avance de frais sont sans objet. Les conclusions du recours étant d'emblée vouées à l'échec, la requête d'assistance judiciaire partielle est, elle, rejetée (cf. art. 65 al. 1 PA).</w:t>
      </w:r>
    </w:p>
    <w:p>
      <w:r>
        <w:rPr>
          <w:b/>
        </w:rPr>
        <w:t>E. 9.2</w:t>
      </w:r>
    </w:p>
    <w:p>
      <w:r>
        <w:t>Vu l'issue de la cause, il y a ainsi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