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E-5425/2016 vom 29. September 2016</w:t>
      </w:r>
    </w:p>
    <w:p>
      <w:r>
        <w:t>Bundesverwaltungsgericht, 2016-09-29, DE</w:t>
      </w:r>
    </w:p>
    <w:p>
      <w:r>
        <w:rPr>
          <w:b/>
        </w:rPr>
        <w:t xml:space="preserve">Quelle: </w:t>
      </w:r>
      <w:r>
        <w:t>https://mcp.opencaselaw.ch/entscheid/bvger_E-5425_2016</w:t>
      </w:r>
    </w:p>
    <w:p>
      <w:r>
        <w:t>FR: TAF E-5425/2016 du 29 septembre 2016</w:t>
      </w:r>
    </w:p>
    <w:p>
      <w:r>
        <w:t>IT: TAF E-5425/2016 del 29 settembre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hat die Vorinstanz zu Recht und mit zutreffender Begründung die Asylrelevanz der Vorbringen der Beschwerdeführenden verneint. Weder die von den Beschwerdeführenden eingereichten Beweismittel (Fotos) noch die Ausführungen in der Beschwerdeeingabe, welche sich im Wesentlichen in einer Wiederholung der Ausführungen im schriftlichen Asylgesuch erschöpfen, vermögen die sich aus der Einstufung Serbiens als "Safe Country" gemäss Art. 6 Abs. 2 Bst. a AsylG ergebende Regelvermutung der Verfolgungssicherheit im Heimatstaat umzustossen. Aus der nicht weiter substanziierten Behauptung der Beschwerdeführenden, sie hätten die serbische Polizei mehrmals erfolglos um Hilfe ersucht, kann nicht auf einen generell fehlenden Schutz im gesamten Staatsgebiet geschlossen werden. Es ist davon auszugehen, dass der serbische Staat hinreichende Möglichkeiten zum Schutz vor häuslicher Gewalt bietet und es den Beschwerdeführerenden zuzumuten ist, sich an die dafür zuständigen Stellen zu wenden. Ferner ist auf die in Serbien existieren Nichtregierungsorganisationen, welche gewaltbetroffenen Frauen und Kindern Unterstützung bieten (z.B. Autonomous Women's Center), hinzuweisen. Darüber hinaus ist auch kein asylrelevantes Motiv im Sinne von Art. 3 Abs. 1 AsylG für die von den Beschwerdeführenden behaupteten Verfolgungshandlungen ersichtlich.</w:t>
      </w:r>
    </w:p>
    <w:p>
      <w:r>
        <w:rPr>
          <w:b/>
        </w:rPr>
        <w:t>E. 5.2</w:t>
      </w:r>
    </w:p>
    <w:p>
      <w:r>
        <w:t>Zusammenfassend ist festzuhalten, dass es den Beschwerde­füh­renden nicht gelungen ist, eine im Sinne von Art. 3 AsylG asylrelevante Verfolgungsgefahr nachzu­weisen oder glaubhaft darzutun. Das SEM hat demnach ihre erneuten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Vorinstanz hat in ihrer Verfügung zutreffend dargelegt, dass weder die im Heimatstaat der Beschwerdeführenden herrschende politische Situation noch andere, individuelle Gründe gegen die Zumutbarkeit einer Rückführung nach Serbien sprechen. Die entsprechenden Erwägungen blieben in der Beschwerdeeingabe unwidersprochen.</w:t>
      </w:r>
    </w:p>
    <w:p>
      <w:r>
        <w:rPr>
          <w:b/>
        </w:rPr>
        <w:t>E. 7.3.3</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dem Entscheid in der Hauptsache ohne vorgängige Instruktion sind die Gesuche um vorsorgliche Massnahmen im Zusammenhang mit einer Datenweitergabe an den Heimatstaat sowie um Verzicht auf die Erhebung eines Kostenvorschusses gegenstandslos geworden. Zudem geht aus den Akten nicht hervor, es seien bereits Daten an den Heimatstaat übermittelt worden, weshalb auf das Begehren um entsprechende Offenlegung nicht einzugehen ist.</w:t>
      </w:r>
    </w:p>
    <w:p>
      <w:r>
        <w:rPr>
          <w:b/>
        </w:rPr>
        <w:t>E. 10</w:t>
      </w:r>
    </w:p>
    <w:p>
      <w:r>
        <w:t>Die mit der Beschwerde gestellten Gesuche um Gewährung der unentgeltlichen Prozessführung und Beiordnung einer amtlichen Rechtsvertretung sind abzuweisen, da die Beschwerdebegehren - wie sich aus den vorstehenden Erwägungen ergibt - als aussichtlos zu bezeichnen waren, weshalb die Voraussetzungen von Art. 65 Abs. 1 und 2 VwVG (vgl. Art. 110a Abs. 2 AsylG) nicht erfüllt sind.</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