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E-5421/2015 vom 28. Juni 2017</w:t>
      </w:r>
    </w:p>
    <w:p>
      <w:r>
        <w:t>Bundesverwaltungsgericht, 2017-06-28, DE</w:t>
      </w:r>
    </w:p>
    <w:p>
      <w:r>
        <w:rPr>
          <w:b/>
        </w:rPr>
        <w:t xml:space="preserve">Quelle: </w:t>
      </w:r>
      <w:r>
        <w:t>https://mcp.opencaselaw.ch/entscheid/bvger_E-5421_2015</w:t>
      </w:r>
    </w:p>
    <w:p>
      <w:r>
        <w:t>FR: TAF E-5421/2015 du 28 juin 2017</w:t>
      </w:r>
    </w:p>
    <w:p>
      <w:r>
        <w:t>IT: TAF E-5421/2015 del 28 giugno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Wie bereits mit Zwischenverfügung vom 9. September 2015 festgestellt wurde, richtet sich die Beschwerde ausschliesslich gegen den Vollzug der Wegweisung. Die Verfügung des SEM vom 4. August 2015 ist, soweit sie die Fragen der Flüchtlingseigenschaft und der Asylgewährung (Dispositivziffern 1 und 2) betrifft, mangels Anfechtung in Rechtskraft erwachsen und die Wegweisung als solche ist nicht zu überprüfen.</w:t>
      </w:r>
    </w:p>
    <w:p>
      <w:r>
        <w:rPr>
          <w:b/>
        </w:rPr>
        <w:t>E. 3.1</w:t>
      </w:r>
    </w:p>
    <w:p>
      <w:r>
        <w:t>Die Beschwerdeführenden machen zunächst geltend, dem Frageschema für rechtliches Gehör lasse sich entnehmen, dass die Vorinstanz ihnen nicht generell das Wort erteilt habe und sie sich auch nicht zur Abweisung ihres Gesuches hätten äussern können. Aus diesem Grund sei ihr Anspruch auf rechtliches Gehör verletzt worden.</w:t>
      </w:r>
    </w:p>
    <w:p>
      <w:r>
        <w:rPr>
          <w:b/>
        </w:rPr>
        <w:t>E. 3.2</w:t>
      </w:r>
    </w:p>
    <w:p>
      <w:r>
        <w:t>Soweit die Beschwerdeführenden eine Verletzung des Anspruchs auf rechtliches Gehör rügen und geltend machen, sie hätten sich nicht vollständig zu Sache äussern können, verkennen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was den Beschwerdeführenden vorliegend, insbesondere durch die von der Vorinstanz durchgeführten Befragungen, vollumfänglich möglich war (vgl. BGE 132 II 485 E. 3.4.). Zudem verkennen die Beschwerdeführenden, dass es sich bei dem von ihnen angerufenen Frageschema nicht um die Erteilung des rechtlichen Gehörs im Zusammenhang mit dem Entscheid über das Asylgesuch handelte, sondern dies im Rahmen des Zuweisungsentscheides gewährt wurde. Die Rüge erweist sich angesichts dieser Sachlage als unbegründet, weshalb keine Veranlassung besteht, die Sache aus formellen Gründen aufzuheben und an die Vorinstanz zurückzuweisen.</w:t>
      </w:r>
    </w:p>
    <w:p>
      <w:r>
        <w:rPr>
          <w:b/>
        </w:rPr>
        <w:t>E. 4.1</w:t>
      </w:r>
    </w:p>
    <w:p>
      <w:r>
        <w:t>In Bezug auf den Vollzug der Wegweisung hält die Vorinstanz fest, den Beschwerdeführenden drohe bei einer Rückkehr in ihren Heimatstaat mit beachtlicher Wahrscheinlichkeit keine durch Art. 3 EMRK verbotene Strafe oder Behandlung. Der Konflikt in der Ukraine beschränke sich auf ein kleines Gebiet im Osten. Ihr Wohnort befinde sich zwar im Konfliktgebiet, aufgrund der garantierten Niederlassungsfreiheit bestehe jedoch die Möglichkeit einen Wohnort innerhalb des von der Regierung kontrollierten Gebietes zu wählen. Da beide gesund seien und über langjährige Berufserfahrung verfügen würden, lägen keine individuellen Gründe vor, die gegen eine Rückkehr in die Ukraine sprechen würden. Auch wenn sie keine Verwandten in der Westukraine hätten, würden sie bei einer Rückkehr staatliche Unterstützung erhalten und könnten von ihren Verwandten in Russland und der Schweiz finanziellen Beistand erwarten. Der Vollzug der Wegweisung sei zudem technisch möglich und praktisch durchführbar.</w:t>
      </w:r>
    </w:p>
    <w:p>
      <w:r>
        <w:rPr>
          <w:b/>
        </w:rPr>
        <w:t>E. 4.2</w:t>
      </w:r>
    </w:p>
    <w:p>
      <w:r>
        <w:t>Die Beschwerdeführenden bringen dagegen vor, intern Vertriebene würden in der Ukraine nur ungenügende staatliche Hilfe erhalten. Zwischen den Ansässigen und den "internally displaced persons" (IDP) herrschten Spannungen und es komme zu Verteilungskämpfen. Wie die eingereichten Berichte belegen würden, hätten sie als Ukrainer russischer Ethnie mit von der Regierung unterstützen neonazistischen Gruppierungen zu kämpfen. Bei einem Umzug müssten sie zudem aufgrund ihrer Herkunft aus dem Konfliktgebiet und weil sie wegen ihrer Abstammung den Separatisten zugerechnet würden, selbst mit Anfeindungen der Ultranationalisten rechnen. Zudem sei eine Rückkehr wegen der hohen Arbeitslosigkeit, mangelnder Ersparnisse und des fehlenden sozialen Beziehungsnetzes unzumutbar. Sie wären in der Ukraine auf Almosen angewiesen, da die staatlich garantierte Unterstützung der IDP zu niedrig sei, um davon leben zu können. Sie seien somit einem existenziellen Risiko für Leib und Leben ausgesetzt, weshalb eine inländische Zufluchtsmöglichkeit zu verneinen und eine Rückkehr unzumutbar sei.</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4.4.1</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Ukraine ist demnach unter dem Aspekt von Art. 5 AsylG rechtmässig.</w:t>
      </w:r>
    </w:p>
    <w:p>
      <w:r>
        <w:rPr>
          <w:b/>
        </w:rPr>
        <w:t>E. 4.4.2</w:t>
      </w:r>
    </w:p>
    <w:p>
      <w:r>
        <w:t>Sodann ergeben sich weder aus den Aussagen der Beschwerdeführenden noch aus den Akten Anhaltspunkte dafür, dass sie für den Fall einer Ausschaffung in die Ukraine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Rückkehr Folter oder unmenschliche Behandlung drohen würde (vgl. Urteil des EGMR Saadi gegen Italien 28. Februar 2008, Grosse Kammer 37201/06, §§ 124 ff. m.w.H.). Auch die allgemeine Menschenrechtssituation in der Ukraine lässt den Wegweisungsvollzug zum heutigen Zeitpunkt nicht als unzulässig erscheinen. Der Vollzug der Wegweisung ist sowohl im Sinne der asyl- als auch der völkerrechtlichen Bestimmungen zulässig.</w:t>
      </w:r>
    </w:p>
    <w:p>
      <w:r>
        <w:rPr>
          <w:b/>
        </w:rPr>
        <w:t>E. 4.5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Beschwerdeführenden stammen aus Mariupol, einem von ukrainischen Regierungstruppen kontrollierten, jedoch von prorussischen und von russischen Militäreinheiten unterstützten Separatisten umkämpften Gebiet der Ukraine. Die Schilderungen der konfliktbedingten Probleme in der Heimatstadt der Beschwerdeführenden sind glaubhaft und decken sich mit den Berichterstattungen zum Krisengebiet. Die Lage in Mariupol ist weiterhin kritisch. Die Kämpfe, bei welchen sowohl die ukrainischen als auch die russischen Kämpfer schwere Waffen einsetzen, dauern bis heute an (vgl. Jamestown Foundation, Conflict Escalates Again in Eastern Ukraine: Possible Causes and Consequences, 31 March 2017, Eurasia Daily Monitor, &lt;https://jamestown.org/program/conflict-escalates-eastern-ukraine-possible-causes-consequences/&gt;, abgerufen am 13.6.2017).</w:t>
      </w:r>
    </w:p>
    <w:p>
      <w:r>
        <w:rPr>
          <w:b/>
        </w:rPr>
        <w:t>E. 4.5.1</w:t>
      </w:r>
    </w:p>
    <w:p>
      <w:r>
        <w:t>Die von den Beschwerdeführenden geltend gemachten Benachteiligungen im Konfliktgebiet, insbesondere die Probleme im Zusammenhang mit neonazistischen Gruppierungen, wirken sich lediglich lokal in den ostukrainischen Gebieten aus. Der ukrainische Staat beziehungsweise dessen Behörden und Instanzen sind nach Erkenntnissen des Gerichts in der Lage und willens, den vom Konflikt betroffenen Personen in den anderen Landesteilen wirksamen Schutz zu gewähren. Es kann insbesondere nicht die Rede davon sein, dass ukrainische Staatsangehörige russischer Ethnie unter dem Einfluss des herrschenden Konflikts per se diskriminiert, als Separatisten bezeichnet oder gar bedroht würden und dies von der Regierung systematisch gefördert oder tatenlos geduldet würde.</w:t>
      </w:r>
    </w:p>
    <w:p>
      <w:r>
        <w:rPr>
          <w:b/>
        </w:rPr>
        <w:t>E. 4.5.2</w:t>
      </w:r>
    </w:p>
    <w:p>
      <w:r>
        <w:t>Den Beschwerdeführenden ist es sodann möglich, die ihnen zur Verfügung stehende innerstaatliche Schutzalternative in Anspruch zu nehmen, ohne dass sie dabei in eine existenzbedrohende Lage geraten. Zwar ist wegen des andauernden Konflikts und der damit einhergehenden schlechten Wirtschaftslage, welche zu grossen internen Fluchtbewegungen der Bevölkerung geführt hat, der Zugang zu Wohnraum und Arbeit erschwert. Die Beschwerdeführerin verfügt über eine Ausbildung als Kauffrau und arbeitete zuletzt mehrere Jahre als Verkäuferin. Zudem spricht sie ukrainisch (vgl. Akten der Vorinstanz A8/12, F1.17). Es dürft ihr daher möglich sein, in einer anderen Region der Ukraine innerhalb eines absehbaren Zeitraumes wieder in die Berufstätigkeit einzusteigen und ein Erwerbseinkommen zu erzielen. Der Beschwerdeführer hat am (...) studiert und unterrichtete als Berufsschullehrer. In den letzten fünf Jahren bis zu seiner Ausreise war er als Aushilfe, letzthin bei einer Transportfirma, tätig. Er spreche nur wenig Ukrainisch (vgl. Akten der Vorinstanz A5/12, F1.17). Angesichts seiner geringen Sprachkenntnisse dürfte es für ihn zwar schwieriger sein, eine Arbeitsstelle zu finden. Dennoch ist davon auszugehen, dass Aushilfsarbeiten im Transportbereich oder anderen Sektoren weiterhin auch mit seinen knappen Sprachkenntnissen möglich sein sollten. Als intern Vertriebene haben die Beschwerdeführenden überdies Zugang zu garantierten sozialen Leistungen im Heimatstaat (vgl. UK: Home Office, Country Information and Guidance - Ukraine: Crimea, Donetsk &amp; Luhansk, Januar 2016, S. 35 f.; UN High Commissioner for Refugees [UNHCR], Ukraine. UNHCR Operational Update [28 December 2015 - 19 January 2016], 19. Januar 2016, S. 2). Es ist daher nicht davon auszugehen, dass sie bei einer Rückkehr in die Ukraine in eine existenzbedrohende Lage geraten werden.</w:t>
      </w:r>
    </w:p>
    <w:p>
      <w:r>
        <w:rPr>
          <w:b/>
        </w:rPr>
        <w:t>E. 4.5.3</w:t>
      </w:r>
    </w:p>
    <w:p>
      <w:r>
        <w:t>Soweit in der Beschwerde geltend gemacht wird, die Vorinstanz habe den Sachverhalt nicht richtig festgestellt, da sie behauptet habe, die Beschwerdeführenden würden über langjährige Berufserfahrung verfügen, ist darauf hinzuweisen, dass sie selbst in den Befragungen angaben, mehrere Jahre als Berufsschullehrer, Aushilfsarbeiter und Verkäuferin gearbeitete zu haben (vgl. Ziffer 5.5.3). Eine unrichtige Sachverhaltsabklärung im Sinne von Art. 106 Abs. 1 Bst. b AsylG liegt nicht vor.</w:t>
      </w:r>
    </w:p>
    <w:p>
      <w:r>
        <w:rPr>
          <w:b/>
        </w:rPr>
        <w:t>E. 4.5.4</w:t>
      </w:r>
    </w:p>
    <w:p>
      <w:r>
        <w:t>Der Beschwerdeführer vermochte nicht darzulegen, dass er in der Ukraine tatsächlich in den Militärdienst eingezogen werden sollte. Gemäss seinen Angaben hatte er kein entsprechendes Aufgebot erhalten. Die Verfügung der Vorinstanz vom 4. August 2015 wurde betreffend die Feststellung der Flüchtlingseigenschaft nicht angefochten. Es wurde daher nicht bestritten, dass eine allfällige zukünftige Mobilisierung einem legitimen Recht des ukrainischen Staates, eine Armee zu erhalten und seine Bürger zu rekrutieren, entsprechen würde und nicht asylrelevant wäre. Die Einberufung zu einer legitimen staatsbürgerlichen Pflicht tangiert die Zumutbarkeit des Wegweisungsvollzuges nicht.</w:t>
      </w:r>
    </w:p>
    <w:p>
      <w:r>
        <w:rPr>
          <w:b/>
        </w:rPr>
        <w:t>E. 4.5.5</w:t>
      </w:r>
    </w:p>
    <w:p>
      <w:r>
        <w:t>Nach dem Gesagten erweist sich der Vollzug der Wegweisung als zumutbar.</w:t>
      </w:r>
    </w:p>
    <w:p>
      <w:r>
        <w:rPr>
          <w:b/>
        </w:rPr>
        <w:t>E. 4.6</w:t>
      </w:r>
    </w:p>
    <w:p>
      <w:r>
        <w:t>Schliesslich ist der Vollzug der Wegweisung angesichts der gültigen Reisepässe der Beschwerdeführenden auch als möglich zu bezeichnen (Art. 83 Abs. 2 AuG).</w:t>
      </w:r>
    </w:p>
    <w:p>
      <w:r>
        <w:rPr>
          <w:b/>
        </w:rPr>
        <w:t>E. 4.7</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