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E-541/2025 vom 30. Juli 2025</w:t>
      </w:r>
    </w:p>
    <w:p>
      <w:r>
        <w:t>Bundesverwaltungsgericht, 2025-07-30, DE</w:t>
      </w:r>
    </w:p>
    <w:p>
      <w:r>
        <w:rPr>
          <w:b/>
        </w:rPr>
        <w:t xml:space="preserve">Quelle: </w:t>
      </w:r>
      <w:r>
        <w:t>https://mcp.opencaselaw.ch/entscheid/bvger_E-541_2025</w:t>
      </w:r>
    </w:p>
    <w:p>
      <w:r>
        <w:t>FR: TAF E-541/2025 du 30 juillet 2025</w:t>
      </w:r>
    </w:p>
    <w:p>
      <w:r>
        <w:t>IT: TAF E-541/2025 del 30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w:t>
      </w:r>
    </w:p>
    <w:p>
      <w:r>
        <w:t>E-541/2025 Seite 6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vermochten die Vorbringen der Beschwerde- führerin weder den Anforderungen von Art. 3 AsylG an die Flüchtlingsei- genschaft noch denjenigen von Art. 7 AsylG an das Glaubhaftmachen zu genügen. Ihre Schilderung der Situation, in welcher sie persönlich konkret bedroht worden sei, sei allgemein und undifferenziert ausgefallen. Es sei nicht glaubhaft, dass im (…) 2022 bei ihnen zuhause eine Razzia wie von ihr beschrieben stattgefunden habe. Ihre Angaben seien trotz mehrfacher Nachfragen zu wenig substanziiert, verallgemeinernd, oberflächlich und teilweise (hinsichtlich der angeblichen Drohung und der Frage, ob die Be- amten nach etwas Bestimmten gesucht hätten) inkonsistent gewesen. Die</w:t>
      </w:r>
    </w:p>
    <w:p>
      <w:r>
        <w:t>E-541/2025 Seite 7 Drohung habe sie zudem nicht substanziiert in die Schilderungen einzubet- ten vermocht. Insgesamt hätte sie auch ohne Erlebnisbezug solche Anga- ben machen können, zumal ihre Verwandten ebenfalls bereits Hausrazzien erlebt hätten. Die Vorbringen hielten daher den Anforderungen von Art. 7 an das Glaubhaftmachen nicht stand, sodass diese nicht auf ihre Asylrele- vanz geprüft werden müssten. Selbst bei Wahrunterstellung seien keine Anhaltspunkte für eine konkrete Gefährdung im Sinne von Art. 3 AsylG er- sichtlich. Es sei nicht davon auszugehen, dass nach der angeblichen Raz- zia in naher Zukunft und mit hoher Wahrscheinlichkeit Repressalien gegen sie ergriffen worden wären. Überdies stellten auch die weiteren geltend gemachten Behelligungen sei- tens der Behörden (behördlicher Druck aufgrund der Aktivitäten des [...] seit 1993, Aufforderung zur Identifizierung von Organisationsmitgliedern anhand von Fotos, Abhören von Telefonaten bis ins Jahr 2002/2003, Fra- gen nach Zielort) mangels massgeblicher Intensität respektive mangels Ak- tualität keine asylbeachtlichen Verfolgungsmassnahmen dar. Es sei nicht ersichtlich, dass sie in Zusammenhang damit weitere Repressalien oder Reflexverfolgungsmassnahmen ernsthaften Ausmasses zu befürchten ge- habt hätte. Ihr (...) sei nach seiner Ausreise mehrfach in die Türkei zurück- gekehrt und habe zuletzt im Jahr 2022 wieder legal ausreisen können, ob- wohl die Behörden über seinen Heimataufenthalt informiert gewesen seien. Ungeachtet seiner zwischenzeitlich erlangten (…) Staatsbürger- schaft sei nicht ersichtlich, welches Interesse die türkischen Behörden so- mit noch an ihm und dadurch an ihr haben könnten. Gegen sie persönlich sei sodann nie ein Verfahren eröffnet worden. Sie selbst sei ebenfalls nicht an der legalen Ausreise gehindert worden, was nicht für ein Reflexverfol- gungsinteresse an ihrer Person spreche. Weiter habe sie keine massge- blich intensiven Nachteile seitens der Behörden geltend gemacht und gar angegeben, dass weder an ihrer letzten Adresse zuhause noch bei ihrer Mutter in Ankara nach der Ausreise etwas vorgefallen sei. Sowohl ihre Mut- ter als auch ihr Ehemann verweilten unbehelligt in der Türkei. Bezeichnen- derweise habe sie bei der Frage nach ihren Asylgründen noch auf ein Erd- beben im Jahr 2020 verwiesen, welches «ausschlaggebender Grund für alles» gewesen sei. Insofern sie Belästigungen beziehungsweise diskrimi- nierendes Verhalten seitens Dritter (bspw. seitens Nachbarn) – unter an- derem aufgrund ihrer Religionszugehörigkeit – gegenüber ihr oder ihrem Sohn geltend mache, erscheine dies weder massgeblich intensiv noch kausal für die Ausreise.</w:t>
      </w:r>
    </w:p>
    <w:p>
      <w:r>
        <w:t>E-541/2025 Seite 8</w:t>
      </w:r>
    </w:p>
    <w:p>
      <w:r>
        <w:rPr>
          <w:b/>
        </w:rPr>
        <w:t>E. 5.2</w:t>
      </w:r>
    </w:p>
    <w:p>
      <w:r>
        <w:t>Zur Begründung ihrer Beschwerde machen die Beschwerdeführenden im Wesentlichen Folgendes geltend: Die Schilderung der Drohung sei glaubhaft. Bei den systematisch erfolgten Drohungen handle es sich um ernsthafte Nachteile. Die Beschwerdeführe- rin und die anderen Anwesenden hätten sich sodann während der gesam- ten Razzia im Wohnzimmer befunden, weshalb sie nicht gesehen habe, wonach genau gesucht worden sei. Währenddessen habe sie Angst und Panik gehabt. Diese Ereignisse habe sie an der Anhörung erneut durch- lebt, weshalb sie unter hohem Blutdruck gelitten habe und sich nicht voll- ständig habe ausdrücken können. Zudem sei die Zeit für die Befragung sehr knapp bemessen gewesen, weshalb sie nicht alle relevanten Punkte habe darlegen können. Ein Durchsuchungsbefehl oder eine Erklärung über den Zweck der Durchsuchung sei ihr nie vorgelegt worden. Die Beschwerdeführerin stamme weiter aus einer Familie, die seit Jahr- zehnten im Fokus der türkischen Behörden und des sogenannten «tiefen Staates» (insb. Geheimdienste) stehe, deren Mitglieder ausserhalb des rechtlichen Rahmens agierten. Die legale Ausreise respektive die Abwe- senheit offizieller Verfahren sage nichts über die tatsächliche Bedrohung aus. Sämtliche Telefonate würden bis heute abgehört, auch diejenigen mit ihrer Mutter. Diese Besonderheiten habe das SEM nicht berücksichtigt. Die Intensität und Dauer dieser Aktionen zeige die Schwere der Verfolgung. Die Kontinuität der Verfolgung bedeute eine erhebliche Gefahr für sie bei einer Rückkehr in die Türkei. Solange diese Strukturen bestünden, sei keine sichere Rückkehr möglich. Der «tiefe Staat» nehme sodann den (...) nach wie vor als Gefahr wahr, weshalb die Familie weiterhin im Fokus stehe. Die türkischen Behörden vermöchten sie vor dieser Bedrohung nicht zu schützen. Durch die kontrollierte Ausreise und den anschliessenden Aufenthalt in der Schweiz mit einem Touristenvisum seien die heimatlichen Behörden sodann über ihre Asylgesuche in der Schweiz informiert. Da sol- che Personen oft als Verräter oder Oppositionelle betrachtet würden, droh- ten ihnen bei einer Rückkehr in die Türkei erhebliche asylrelevante Nach- teile. Die Schliessung des (…), die Zerstörung des sozialen Umfelds und die damit verbundenen Schulden seien direkte Folgen von Bedrohungen und Boykotten, die vom «tiefen Staat» initiiert worden seien. Auch der Sohn habe erheblich unter der Verfolgung gelitten; so sei seine [Sport]karriere behindert worden. Die Religionszugehörigkeit habe sich auch auf ihre psy- chische Gesundheit und das soziale Umfeld ausgewirkt. Die Konversion zum Christentum und die daraus resultierenden Konsequenzen seien als asylrelevante Verfolgung zu werten. Ein Verbleib in der Türkei sei aufgrund</w:t>
      </w:r>
    </w:p>
    <w:p>
      <w:r>
        <w:t>E-541/2025 Seite 9 der systematischen Verfolgung und des damit einhergehenden psychi- schen Drucks objektiv unzumutbar geworden.</w:t>
      </w:r>
    </w:p>
    <w:p>
      <w:r>
        <w:rPr>
          <w:b/>
        </w:rPr>
        <w:t>E. 6.1</w:t>
      </w:r>
    </w:p>
    <w:p>
      <w:r>
        <w:t>Nach Prüfung der Akten gelangt das Bundesverwaltungsgericht zum Schluss, dass die angefochtene Verfügung zu stützen ist. Die Vorinstanz ist darin mit ausführlicher, ausgewogener und zutreffender Begründung zum Schluss gelangt, die Vorbringen der Beschwerdeführenden würden den Anforderungen von Art. 7 AsylG an das Glaubhaftmachen eines Asyl begründenden Sachverhalts und jenen von Art. 3 AsylG an die flüchtlings- rechtliche Beachtlichkeit nicht genügen. Die Beschwerde erschöpft sich in weiten Teilen in einfachen Gegenbehauptungen und zielt an der Argumen- tation der Vorinstanz vorbei. Sie vermag den detaillierten vorinstanzlichen Argumenten nichts Stichhaltiges entgegenzuhalten. Zur Vermeidung von Wiederholungen kann daher mit den nachfolgenden Ergänzungen – worin hauptsächlich auf die Beschwerde Bezug genommen wird – auf die zutref- fenden Ausführungen in der angefochtenen Verfügung verwiesen werden (vgl. a.a.O. Ziff. II).</w:t>
      </w:r>
    </w:p>
    <w:p>
      <w:r>
        <w:rPr>
          <w:b/>
        </w:rPr>
        <w:t>E. 6.2</w:t>
      </w:r>
    </w:p>
    <w:p>
      <w:r>
        <w:t>Die Beschwerdeführenden verkennen, dass die Vorinstanz nicht einzig den Detailreichtum der Schilderungen zur angeblichen Drohung, sondern vielmehr deren fehlende konsistente Einbettung in die Geschehnisse sowie die Substanziierung der Hausdurchsuchung an sich bemängelte. Trotz zahlreicher Nachfragen war es der Beschwerdeführerin insgesamt nicht möglich, die anfänglichen substanzarmen Schilderungen mit weiteren er- lebnisbasierten Elementen anzureichern (vgl. vorinstanzliche Akten […]-24/17 [nachfolgend: act. 24] F36-39, F42-46). Die Schilderungen blie- ben stereotyp und gleichförmig vage (sie habe auf der einen Seite die Mut- ter zu beruhigen versucht und auf der anderen Seite den (...) festgehalten, sie sei «hin- und hergestossen» worden, vgl. a.a.O.). Das SEM bemängelte sodann zu Recht die Unstimmigkeiten hinsichtlich der von der Drohung umfassten Personen. Es trifft zwar zu, dass eine leicht abweichende Schil- derung einer Drohung nicht grundsätzlich gegen die Glaubhaftigkeit eines solchen Vorbringens spricht, wenn diese sich ansonsten durch weitere Re- alkennzeichen auszeichnet. Es gehört indes zu einem zentralen Bestand- teil einer Drohung, deren Adressaten genau zu bezeichnen, ansonsten diese ihre Wirkung verfehlen würde. Daher stellen die inkonsistenten Schil- derungen hinsichtlich der Personen, gegen welche sich die Drohung ge- richtet haben soll, eine gewichtige Unstimmigkeit dar, welche gegen die Glaubhaftigkeit dieser Drohung spricht. Überdies stehen die Beschwerde- ausführungen, wonach sie und die anderen Anwesenden sich während der</w:t>
      </w:r>
    </w:p>
    <w:p>
      <w:r>
        <w:t>E-541/2025 Seite 10 gesamten Durchsuchung im Wohnzimmer befunden hätten, im Wider- spruch zu ihren Aussagen anlässlich der Anhörung, sie hätten während der Hausdurchsuchung mit der Mutter, dem (...) und den anderen Polizisten vor der Haustür gestanden und erst nachdem die Polizisten gegangen seien die Wohnung betreten (vgl. act. 24 F44). Mit der Beschwerdeergän- zung vom 4. März 2025 vermochten die Beschwerdeführenden zwar wei- tere Details zur Razzia zu schildern, die nachträglichen schriftlichen Aus- führungen sind indes nicht geeignet, an die Stelle der protokollierten Aus- sagen an der Anhörung zu treten. Die Vorbringen, wonach die Beschwer- deführerin während der Anhörung Bluthochdruck gehabt habe und die Zeit an der Anhörung zu knapp bemessen gewesen sei, weshalb sie nicht alle relevanten Punkte habe darlegen können, sind als nachgeschobene Schutzbehauptung zu qualifizieren. Sie wurde mehrfach zur Hausdurchsu- chung befragt und gebeten, diese detailliert zu schildern (vgl. a.a.O.). An- lässlich der Anhörung bejahte sie sodann die Frage, ob sie alles habe sa- gen können, was sie für ihr Asylgesuch als wesentlich erachte (vgl. act. 24 F85). Schliesslich ergeben sich keine Anzeichen für relevante gesundheit- liche Beeinträchtigungen anlässlich der Anhörung, welche sie daran gehin- dert hätten, ihre Fluchtgründe frei zu schildern. Nach dem Ausgeführten ist es der Beschwerdeführerin in Übereinstim- mung mit der Vorinstanz nicht gelungen, die Hausdurchsuchung im (…) 2022 glaubhaft darzutun.</w:t>
      </w:r>
    </w:p>
    <w:p>
      <w:r>
        <w:rPr>
          <w:b/>
        </w:rPr>
        <w:t>E. 6.3</w:t>
      </w:r>
    </w:p>
    <w:p>
      <w:r>
        <w:t>Die Beschwerdeausführungen hinsichtlich des «tiefen Staates» (z.B. hinsichtlich der legalen Ausreise, der Abhör- und Einschüchterungsmass- nahmen, Kenntnisnahme vom Asylgesuch in der Schweiz) und der davon ausgehenden Bedrohung für die Beschwerdeführenden erschöpfen sich in reiner Spekulation und vermögen die aktenbezogenen und detaillierten Er- wägungen der Vorinstanz nicht umzustossen. Die weder substanziierte noch belegte Behauptung, sämtliche Telefonate würden bis heute abge- hört, steht im Widerspruch zu ihrer Aussage an der Anhörung, dass man es heute nicht mehr merke, wenn man abgehört werde (vgl. act. 24 F83). Den Akten sind sodann keine Hinweise darauf zu entnehmen, dass die von ihnen erlebten und ohnehin als flüchtlingsrechtlich nicht relevant zu quali- fizierenden Nachteile aufgrund ihrer Religion und Ethnie (keine Spielzeit im [Sport]team des Sohnes, Schliessung des (…), wirtschaftliche Verluste, so- ziale Ausgrenzung) auf gezielte Aktionen des «tiefen Staats» zurückzufüh- ren wären. Ferner werden mit der Beschwerde die von der Beschwerde- führerin erlebten Schikanen und Einschüchterungen durch den «tiefen Staat» zum einen mit der Konversion zum Christentum, zum anderen mit</w:t>
      </w:r>
    </w:p>
    <w:p>
      <w:r>
        <w:t>E-541/2025 Seite 11 dem angeblichen Interesse der türkischen Behörden an der Familie res- pektive am (...) der Beschwerdeführerin erklärt (vgl. a.a.O. S. 5 f., S. 10 f., S. 13 f.). Für die angebliche Verfolgung werden daher zwei mögliche Mo- tive präsentiert, welche keinen ersichtlichen Zusammenhang aufweisen. Dies spricht ebenfalls gegen das Vorhandensein einer konkreten Verfol- gung. Schliesslich ist die christliche Bevölkerung in der Türkei – auch nach Konversion – keiner Verfolgung im Sinne von Art. 3 AsylG ausgesetzt (vgl. anstelle vieler Urteil des BVGer D-1690/2025 vom 15. Mai 2025 E. 7.3 m.w.H.). Wie vorstehend ausgeführt, ist die geschilderte Hausdurchsuchung im (…) 2022 als unglaubhaft einzustufen. Alsdann wird in der Beschwerde ange- führt, der (...) sei erst im (…) 2022 legal ausgereist und nach D._______ zurückgeflogen (vgl. act. 24 F26). Bis zu ihrer Ausreise seien der Be- schwerdeführerin lediglich – wie früher – noch dreimal Fotos zwecks Iden- tifizierung von Personen vorgelegt worden, ohne dass sie hierbei weitere Nachteile zu gewärtigen gehabt hätte (vgl. act. 24 F27). Sie selbst sei so- dann zusammen mit ihrer Mutter und dem Sohn erst im (…) 2023 legal aus der Türkei ausgereist. Die Mutter kehrte nach drei Monaten in die Türkei zurück (vgl. act. 24 F48) und sie sowie der Ehemann der Beschwerdefüh- rerin lebten unbehelligt in der Türkei. Inwiefern vor diesem Hintergrund den Beschwerdeführenden mit überwiegender Wahrscheinlichkeit eine Re- flexverfolgung drohen sollte, ist nicht ersichtlich. Ferner ist nicht einzuse- hen, wie die türkischen Behörden vom Asylgesuch in der Schweiz erfahren sollten respektive inwiefern dies vorliegend überhaupt flüchtlingsrechtlich relevant wäre. Schliesslich geht auch der Beschwerdeeinwand fehl, wo- nach der türkische Staat keine Massnahmen zu ihrem Schutz ergriffen habe, zumal sie sich gar nie hilfesuchend an die Behörden gewandt haben. Im Übrigen lassen auch die Ausführungen in der Beschwerdeergänzung vom 4. März 2025 keine andere Einschätzung zu. Soweit die Beschwerde- führenden sich darin ausführlich zum Hintergrund der Verfolgung des (...) äussern, ist nicht ersichtlich, inwiefern diese weit zurückliegenden Ereig- nisse im heutigen Zeitpunkt ein ernsthaftes und unmittelbares Risiko einer flüchtlingsrechtlich relevanten Reflexverfolgung bei ihrer Rückkehr in die Türkei begründen sollten, zumal der (...) schon seit längerer Zeit nicht mehr in der Türkei lebt und mittlerweile über die (…) Staatsbürgerschaft verfügt. Ihren Ausführungen zufolge hätten sich die Behelligungen des «tiefen Staats» jeweils anlässlich der kurzzeitigen Besuche des (...) in der Türkei intensiviert und nach seiner Ausreise wieder reduziert. Es ist zwar nicht zu verkennen, dass die scheinbar regelmässigen Kontakte mit den Beamten</w:t>
      </w:r>
    </w:p>
    <w:p>
      <w:r>
        <w:t>E-541/2025 Seite 12 belastend gewesen sein mögen – diese sind indes selbst bei Wahrunter- stellung in einer Gesamtschau mangels Intensität als nicht relevant im Sinne von Art. 3 AsylG zu qualifizieren. Der Fokus des «tiefen Staats» lag demnach stets auf dem (...) der Beschwerdeführerin und führte bis anhin nicht zu flüchtlingsrechtlich relevanten Nachteilen für die Beschwerdefüh- renden. Es ist daher auch nicht davon auszugehen, dass ihnen bei einer Rückkehr in die Türkei solche mit überwiegender Wahrscheinlichkeit dro- hen würden. Im Übrigen lassen sich den Akten keine Hinweise auf eine drohende Reflexverfolgung aufgrund anderer Verwandter ([…] in der Schweiz, […]) entnehmen.</w:t>
      </w:r>
    </w:p>
    <w:p>
      <w:r>
        <w:rPr>
          <w:b/>
        </w:rPr>
        <w:t>E. 6.4</w:t>
      </w:r>
    </w:p>
    <w:p>
      <w:r>
        <w:t>Nach dem Ausgeführten hat das SEM zu Recht die Flüchtlingseigen- schaft der Beschwerdeführenden verneint und ihre Asylgesuche abge- lehnt.</w:t>
      </w:r>
    </w:p>
    <w:p>
      <w:r>
        <w:rPr>
          <w:b/>
        </w:rPr>
        <w:t>E. 6.5</w:t>
      </w:r>
    </w:p>
    <w:p>
      <w:r>
        <w:t>Auf dieser Grundlage besteht auch kein Anlass für die im Fliesstext der Beschwerde beantragte Einholung einer «Botschaftsabklärung über den tiefen Staat in der Türkei». Der relevante Sachverhalt wurde von der Vor- instanz rechtsgenügend abgeklärt. Demnach besteht kein Anlass, die an- gefochtene Verfügung aufzuheben und die Sache an die Vorinstanz zu- rückzuweisen.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E-541/2025 Seite 13 wenn der strikte Beweis möglich ist, und andernfalls wenigstens glaubhaft zu machen (vgl. BVGE 2011/24 E. 10.2 m.w.H.).</w:t>
      </w:r>
    </w:p>
    <w:p>
      <w:r>
        <w:rPr>
          <w:b/>
        </w:rPr>
        <w:t>E. 8.2</w:t>
      </w:r>
    </w:p>
    <w:p>
      <w:r>
        <w:t>Das SEM befand den Vollzug der Wegweisung in der angefochtenen Verfügung mit zutreffender und ausführlicher Begründung für zulässig, zu- mutbar und möglich (vgl. a.a.O. Ziff. III). Die Beschwerde vermag an dieser Einschätzung nichts zu ändern. Die bis dato erfolgreichen Integrationsbe- mühungen der Beschwerdeführenden sind zwar bemerkenswert. Der Grad der Integration als solcher stellt aber grundsätzlich kein Kriterium für die Beurteilung der Zumutbarkeit des Wegweisungsvollzugs im Sinne von Art. 83 Abs. 4 AIG dar (vgl. BVGE 2009/52 E. 10.3 am Ende; Entscheidun- gen und Mitteilungen der Schweizerischen Asylrekurskommission [EMARK] 2006 Nr. 13 E. 3.5 S. 142 f. sowie anstelle vieler Urteil des BVGer D-4535/2019 vom 26. August 2020 E. 10.3). Aufgrund der kurzen Aufent- haltsdauer in der Schweiz ist auch aus Sicht des Kindeswohls nicht von einer derart fortgeschrittenen Integration von B._______ in der Schweiz auszugehen, welche einer Entwurzelung gleichkäme (vgl. die zu beachten- den Kriterien in BVGE 2009/51 E. 5.6, BVGE 2009/28 E. 9.3.2). Weitere Vollzugshindernisse wurden von den Beschwerdeführenden nicht geltend gemacht, weshalb auf weitergehende Ausführungen verzichtet und statt- dessen auf die Begründung der Vorinstanz verwiesen werden kann.</w:t>
      </w:r>
    </w:p>
    <w:p>
      <w:r>
        <w:rPr>
          <w:b/>
        </w:rPr>
        <w:t>E. 8.3</w:t>
      </w:r>
    </w:p>
    <w:p>
      <w:r>
        <w:t>Der Vollzug der Wegweisung ist somit als zulässig, zumutbar und mög- lich zu bezeichnen.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11. Februar 2025 in gleicher Höhe geleis- tete Kostenvorschuss ist zur Bezahlung der Verfahrenskosten zu verwen- den.</w:t>
      </w:r>
    </w:p>
    <w:p>
      <w:r>
        <w:t>E-541/2025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