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E-5419/2011 vom 11. Januar 2013</w:t>
      </w:r>
    </w:p>
    <w:p>
      <w:r>
        <w:t>Bundesverwaltungsgericht, 2013-01-11, FR</w:t>
      </w:r>
    </w:p>
    <w:p>
      <w:r>
        <w:rPr>
          <w:b/>
        </w:rPr>
        <w:t xml:space="preserve">Quelle: </w:t>
      </w:r>
      <w:r>
        <w:t>https://mcp.opencaselaw.ch/entscheid/bvger_E-5419_2011</w:t>
      </w:r>
    </w:p>
    <w:p>
      <w:r>
        <w:t>FR: TAF E-5419/2011 du 11 janvier 2013</w:t>
      </w:r>
    </w:p>
    <w:p>
      <w:r>
        <w:t>IT: TAF E-5419/2011 del 11 gennaio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L'intéressé a qualité pour recourir. Présenté dans la forme et dans les délais prescrits par la loi, le recours est recevable (art. 48 et 52 PA et 108 al. 1 LAsi).</w:t>
      </w:r>
    </w:p>
    <w:p>
      <w:r>
        <w:rPr>
          <w:b/>
        </w:rPr>
        <w:t>E. 1.4</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Zurich/Bâle/Genève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2.2</w:t>
      </w:r>
    </w:p>
    <w:p>
      <w:r>
        <w:t>La crainte de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2009/51 consid. 4.2.5, arrêts et doctrine cités ; Minh Son Nguyen, Droit public des étrangers, Berne 2003, p. 442-451; Astrid Epiney/Bernhard Waldmann/Andrea Egbuna-Joss/Magnus Oeschger, Die Anerkennung als Flüchtling im europäischen und schweizerischen Recht, in : Jusletter 26 mai 2008, p. 33).</w:t>
      </w:r>
    </w:p>
    <w:p>
      <w:r>
        <w:rPr>
          <w:b/>
        </w:rPr>
        <w:t>E. 3.1</w:t>
      </w:r>
    </w:p>
    <w:p>
      <w:r>
        <w:t>Le recourant a déclaré qu'il avait fait l'objet d'une dénonciation et qu'il était recherché par les autorités en raison de son soutien au PKK. Par ailleurs, le fait que plusieurs membres de sa famille auraient été tués pour ce motif ou auraient dû trouver refuge à l'étranger, et en particulier en Suisse, étaierait, selon lui, sa crainte de faire à son tour l'objet de persécutions de la part des autorités. Or, comme l'ODM l'a relevé à juste titre, les déclarations de l'intéressé relatives à ses activités pour le compte du PKK ainsi qu'aux recherches dont il ferait l'objet doivent être qualifiées d'invraisemblables, car vagues et pour le moins inconsistantes. Ainsi, il ne donne aucun détail sur sa relation avec la personne, qui l'aurait dénoncée, ce qui pourrait éventuellement expliquer pourquoi les autorités auraient estimé nécessaire de faire rechercher quelqu'un, qui se décrit lui-même comme non-impliqué dans la lutte engagée par le PKK, et dont le soutien aurait consisté en la livraison de cigarettes ou le transport de personnes (cf. procès-verbal d'audition du 18 août 2011 ad questions 17 et 27). A cela s'ajoute le fait que les explications de l'intéressé, relatives à ces événements, ne sont en définitives que de simples affirmations qu'aucun élément concret ne vient étayer. Certes, dans le cadre de la procédure de recours, l'intéressé a mis en avant le fait que plusieurs membres de sa famille avaient dû trouver refuge à l'étranger, en raison de leur soutien pour le compte du PKK, citant leurs noms à l'appui de ses allégations. Toutefois, force est de constater que dans les procédures précédentes introduites par le recourant cet argument avait déjà été invoqué (cf. demande d'asile du 4 février 2003 et requête en reconsidération, le 4 mai 2005) sans qu'il fut alors établi que l'intéressé avait effectivement des liens de parenté avec ces personnes (sa soeur et sa tante exceptées), dont il partageait à tout le moins le nom de famille, ou qu'il entretenait des liens spécialement étroits avec celles-ci de manière à le rendre particulièrement intéressant pour les autorités turques. De surcroit l'intéressé ne présentait aucun profil politique susceptible d'expliquer les craintes de persécutions avancées. Or, dans la présente procédure, l'intéressé reprend partiellement les noms déjà avancés et y rajoute quatre nouveaux noms, sans apporter davantage d'éléments, susceptibles d'accréditer l'existence d'un lien de parenté étroit avec ces personnes et un engagement commun pour une cause pouvant justifier un risque de persécution réfléchie. Quant à la soeur et à la tante de l'intéressé, comme déjà relevé dans l'ordonnance du 4 novembre 2011, il s'avère qu'elles résident en Suisse au titre de la loi sur les étrangers du 16 décembre 2005 (LEtr, RS 142.20) et non au titre de la LAsi. C'est donc à raison que l'ODM a considéré que l'intéressé ne remplissait pas les conditions de reconnaissance de la qualité de réfugié.</w:t>
      </w:r>
    </w:p>
    <w:p>
      <w:r>
        <w:rPr>
          <w:b/>
        </w:rPr>
        <w:t>E. 3.2</w:t>
      </w:r>
    </w:p>
    <w:p>
      <w:r>
        <w:t>Il s'ensuit que le recours, en tant qu'il conteste le refus de l'asile et la qualité de réfugié, doit être rejeté.</w:t>
      </w:r>
    </w:p>
    <w:p>
      <w:r>
        <w:rPr>
          <w:b/>
        </w:rPr>
        <w:t>E. 4.1</w:t>
      </w:r>
    </w:p>
    <w:p>
      <w:r>
        <w:t>Lorsqu'il rejette la demande d'asile ou refuse d'entrer en matière à ce sujet, l'ODM prononce, en règle générale, le renvoi de Suisse et en ordonne l'exécution ; il tient compte du principe de l'unité de la famille (art. 44 al. 1 LAsi).</w:t>
      </w:r>
    </w:p>
    <w:p>
      <w:r>
        <w:rPr>
          <w:b/>
        </w:rPr>
        <w:t>E. 4.2</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4.3</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LEtr.</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n'est pas non plus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5.4</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5.5</w:t>
      </w:r>
    </w:p>
    <w:p>
      <w:r>
        <w:t>Concernant les engagements internationaux de la Suisse, il sied d'examiner particulièrement si l'art. 3 CEDH, qui interdit la torture, les peines ou traitements inhumains, trouve ici application.</w:t>
      </w:r>
    </w:p>
    <w:p>
      <w:r>
        <w:rPr>
          <w:b/>
        </w:rPr>
        <w:t>E. 5.6</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5.7</w:t>
      </w:r>
    </w:p>
    <w:p>
      <w:r>
        <w:t>En l'occurrence, le Tribunal relève que le recourant n'a pas établi qu'un tel risque pesait sur lui (cf. consid. 2 et 3 supra).</w:t>
      </w:r>
    </w:p>
    <w:p>
      <w:r>
        <w:rPr>
          <w:b/>
        </w:rPr>
        <w:t>E. 5.8</w:t>
      </w:r>
    </w:p>
    <w:p>
      <w:r>
        <w:t>Dès lors, l'exécution du renvoi du recourant sous forme de refoulement ne transgresse aucun engagement de la Suisse relevant du droit international, de sorte qu'elle s'avère licite (art. 44 al. 2 LAsi et 83 al. 3 LEtr).</w:t>
      </w:r>
    </w:p>
    <w:p>
      <w:r>
        <w:rPr>
          <w:b/>
        </w:rPr>
        <w:t>E. 6.1</w:t>
      </w:r>
    </w:p>
    <w:p>
      <w:r>
        <w:t>L'exécution de la décision n'est pas raisonnablement exigible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6.3</w:t>
      </w:r>
    </w:p>
    <w:p>
      <w:r>
        <w:t>En l'espèce, la Turquie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6.4</w:t>
      </w:r>
    </w:p>
    <w:p>
      <w:r>
        <w:t>En outre, il ne ressort du dossier aucun élément dont on pourrait inférer que l'exécution du renvoi impliquerait une mise en danger concrète du recourant. A cet égard, l'autorité de céans relève que le recourant est en âge et à même de trouver les moyens nécessaires à sa réinstallation dans son pays d'origine. Il est au bénéfice d'une expérience professionnelle et n'a pas allégué de problème de santé particulier. Au demeurant, bien que cela ne soit pas décisif, il dispose d'un réseau familial, sur lequel il pourra compter à son retour.</w:t>
      </w:r>
    </w:p>
    <w:p>
      <w:r>
        <w:rPr>
          <w:b/>
        </w:rPr>
        <w:t>E. 6.5</w:t>
      </w:r>
    </w:p>
    <w:p>
      <w:r>
        <w:t>Pour ces motifs, l'exécution du renvoi doit être considérée comme raisonnablement exigible.</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En l'espèce,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7.3</w:t>
      </w:r>
    </w:p>
    <w:p>
      <w:r>
        <w:t>Cela étant, l'exécution du renvoi doit être déclarée conforme aux dispositions légales.</w:t>
      </w:r>
    </w:p>
    <w:p>
      <w:r>
        <w:rPr>
          <w:b/>
        </w:rPr>
        <w:t>E. 8</w:t>
      </w:r>
    </w:p>
    <w:p>
      <w:r>
        <w:t>Il s'ensuit que le recours, en tant qu'il conteste la décision de renvoi et son exécution, doit être également rejeté.</w:t>
      </w:r>
    </w:p>
    <w:p>
      <w:r>
        <w:rPr>
          <w:b/>
        </w:rPr>
        <w:t>E. 9</w:t>
      </w:r>
    </w:p>
    <w:p>
      <w:r>
        <w:t>Au vu de son caractère manifestement infondé, le recours est rejeté par voie de procédure à juge unique avec l'approbation d'un second juge (art. 111 let. e LAsi) et l'arrêt est sommairement motivé (art. 111a al. 2 LAsi).</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