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E-5417/2014 vom 30. Oktober 2014</w:t>
      </w:r>
    </w:p>
    <w:p>
      <w:r>
        <w:t>Bundesverwaltungsgericht, 2014-10-30, DE</w:t>
      </w:r>
    </w:p>
    <w:p>
      <w:r>
        <w:rPr>
          <w:b/>
        </w:rPr>
        <w:t xml:space="preserve">Quelle: </w:t>
      </w:r>
      <w:r>
        <w:t>https://mcp.opencaselaw.ch/entscheid/bvger_E-5417_2014</w:t>
      </w:r>
    </w:p>
    <w:p>
      <w:r>
        <w:t>FR: TAF E-5417/2014 du 30 octobre 2014</w:t>
      </w:r>
    </w:p>
    <w:p>
      <w:r>
        <w:t>IT: TAF E-5417/2014 del 30 ottobre 2014</w:t>
      </w:r>
    </w:p>
    <w:p>
      <w:pPr>
        <w:pStyle w:val="Heading2"/>
      </w:pPr>
      <w:r>
        <w:t>Regeste</w:t>
      </w:r>
    </w:p>
    <w:p>
      <w:r>
        <w:t>Visum aus humanitären Gründen (Asyl)</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Die Beschwerdeführerin ist als Gastgeberin der Gesuchstellenden zur Beschwerdeführung legitimiert (vgl. statt vieler Urteil C-4524/2012 des BVGer vom 11. März 2014 E. 1.3.2). Auf die frist- und formgerecht eingereichte Beschwerde ist einzutreten (Art. 50 und 52 Abs. 1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Gemäss Art. 2 Abs. 4 VEV können das Eidgenössische Departement für auswärtige Angelegenheiten (EDA) und das BFM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3.4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liegt das Beweismass gegenüber demjenigen im Asylverfahren höher (Urteil des Bundesverwaltungsgerichts D-3367/2013 vom 12. Mai 2014 E. 4.4). Dabei erfolgt eine Einzelfallprüfung. Befindet sich die Person schliesslich bereits in einem Drittstaat, ist in der Regel davon auszugehen, dass keine Gefährdung mehr besteht.</w:t>
      </w:r>
    </w:p>
    <w:p>
      <w:r>
        <w:rPr>
          <w:b/>
        </w:rPr>
        <w:t>E. 4.1</w:t>
      </w:r>
    </w:p>
    <w:p>
      <w:r>
        <w:t>Die Vorinstanz führt in der angefochtenen Verfügung aus, die Gesuchstellenden hätten nicht hinreichend Gewähr für eine fristgerechte Ausreise zu bieten vermögen. Die Voraussetzungen für die Erteilung eines Schengen-Visums C seien somit nicht erfüllt. Der Antrag auf Erteilung eines Visums sei am 27. Mai 2014 gestellt worden. Die Gesuchstellenden könnten sich daher nicht auf die Weisung vom 4. September 2013 über die erleichterte Erteilung von Besucher-Visa für syrische Flüchtlingsfamilien berufen, welche durch die Weisung vom 29. November 2013 aufgehoben worden sei. Sodann würden sich die Gesuchstellenden nicht mehr in ihrem Heimatsaat Syrien, sondern in der Türkei und damit in einem Drittstaat, aufhalten. Bei dieser Sachlage sei in der Regel davon auszugehen, dass die Betroffenen nicht im Sinne der Weisung vom 25. Februar 2014 betreffend Visumantrag aus humanitären Gründen unmittelbar, ernsthaft und konkret an Leib und Leben gefährdet seien. In Bezug auf die Gesuchstellenden sei keine solche Gefährdung gegeben.</w:t>
      </w:r>
    </w:p>
    <w:p>
      <w:r>
        <w:rPr>
          <w:b/>
        </w:rPr>
        <w:t>E. 4.2</w:t>
      </w:r>
    </w:p>
    <w:p>
      <w:r>
        <w:t>Die Beschwerdeführerin macht in der Rechtsmitteleingabe geltend, sie könne ihre Familienangehörigen ohne weiteres bei sich aufnehmen. Sie könne genügend Wohnraum zur Verfügung stellen und auch finanziell für ihre Verwandten aufkommen. Ihre Schwester habe vor kurzer Zeit einen H._______ erlitten und sei auf Medikamente angewiesen. Die ganze Familie leide unter dem Krieg und könne sich vor Ort nicht behandeln lassen.</w:t>
      </w:r>
    </w:p>
    <w:p>
      <w:r>
        <w:rPr>
          <w:b/>
        </w:rPr>
        <w:t>E. 4.3</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Die Vorinstanz begründete die Nichterteilung eines Schengen-Visums damit, dass die fristgerechte Ausreise der Gesuchstellenden nicht gewährt sei. Dazu äussert sich die Beschwerdeführerin in der Rechtsmitteleingabe nicht. Mit der Vorinstanz kann daher nicht ausgeschlossen werden, dass die Gesuchstellenden aufgrund der gesamten Umstände nach Ablauf der Visa nicht fristgerecht aus dem Schengen-Raum ausreisen würden. Die Erteilung eines Visums mit Gültigkeit für den gesamten Schengen-Raum fällt daher ausser Betracht. Es ist somit zu prüfen, ob die Vorinstanz zu Recht die Erteilung eines Einreisevisums in die Schweiz aus humanitären Gründen abgelehnt hat.</w:t>
      </w:r>
    </w:p>
    <w:p>
      <w:r>
        <w:rPr>
          <w:b/>
        </w:rPr>
        <w:t>E. 4.4</w:t>
      </w:r>
    </w:p>
    <w:p>
      <w:r>
        <w:t>Die Gesuchstellenden halten sich gemäss den Ausführungen der Beschwerdeführerin nach wie vor in der Türkei und damit in einem Drittstaat auf. Demnach hat die Vorinstanz zu Recht geschlossen, dass vorliegend grundsätzlich keine Gefährdung mehr bestehe. Eine solche ist auch nicht ersichtlich. Die Gesuchstellenden haben in der Türkei Schutz vor Verfolgung gefunden und es bestehen keine Anzeichen dafür, dass sie eine Ausschaffung nach Syrien zu befürchten hätten. Sie sind somit zur Zeit nicht ernsthaft an Leib und Leben bedroht und befinden sich im Hinblick auf die allgemeine Lage, mit der sich die syrischen Flüchtlinge in der Türkei konfrontiert sehen, nicht in einer besonderen Notsituation, die ein behördliches Eingreifen zwingend erforderlich machen würde. Soweit die Beschwerdeführerin geltend macht, ihre Schwester habe einen H._______ erlitten und benötige Medikamente, handelt es sich dabei um eine nicht belegte Parteibehauptung, die nicht genügt, eine Bundesrechtsverletzung der Vorinstanz aufzuzeigen. Desgleichen gilt hinsichtlich des nicht näher substantiierten Vorbringens, die Familie müsse sich aufgrund des Erlebten behandeln lassen. Weitergehend wiederholt die Beschwerdeführerin den aktenkundigen Sachverhalt, mithin legt sie damit nicht dar, inwiefern die Vorinstanz vorliegend zu Unrecht keine humanitären Visa erteilt hat. Um Wiederholungen zu vermeiden, kann auf die zutreffenden Erwägungen in der angefochtenen Verfügung verwiesen werden.</w:t>
      </w:r>
    </w:p>
    <w:p>
      <w:r>
        <w:rPr>
          <w:b/>
        </w:rPr>
        <w:t>E. 4.5</w:t>
      </w:r>
    </w:p>
    <w:p>
      <w:r>
        <w:t>Die Vorinstanz hat demnach den Gesuchstellenden zu Recht sowohl die Erteilung von Schengen-Visa als auch von humanitären Visa verweigert.</w:t>
      </w:r>
    </w:p>
    <w:p>
      <w:r>
        <w:rPr>
          <w:b/>
        </w:rPr>
        <w:t>E. 5</w:t>
      </w:r>
    </w:p>
    <w:p>
      <w:r>
        <w:t>Aus diesen Erwägungen ergibt sich, dass die angefochtene Verfügung Bundesrecht nicht verletzt und auch sonst nicht zu beanstanden ist (Art. 49 VwVG). Die Beschwerde ist abzuweisen.</w:t>
      </w:r>
    </w:p>
    <w:p>
      <w:r>
        <w:rPr>
          <w:b/>
        </w:rPr>
        <w:t>E. 6</w:t>
      </w:r>
    </w:p>
    <w:p>
      <w:r>
        <w:t>Bei diesem Ausgang des Verfahrens sind die Kosten von Fr. 600.- (Art. 1 - 3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