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E-5416/2015 vom 19. Juni 2017</w:t>
      </w:r>
    </w:p>
    <w:p>
      <w:r>
        <w:t>Bundesverwaltungsgericht, 2017-06-19, DE</w:t>
      </w:r>
    </w:p>
    <w:p>
      <w:r>
        <w:rPr>
          <w:b/>
        </w:rPr>
        <w:t xml:space="preserve">Quelle: </w:t>
      </w:r>
      <w:r>
        <w:t>https://mcp.opencaselaw.ch/entscheid/bvger_E-5416_2015</w:t>
      </w:r>
    </w:p>
    <w:p>
      <w:r>
        <w:t>FR: TAF E-5416/2015 du 19 juin 2017</w:t>
      </w:r>
    </w:p>
    <w:p>
      <w:r>
        <w:t>IT: TAF E-5416/2015 del 19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 2015 in Ungarn ein Asylgesuch eingereicht hatte. Das SEM ersuchte deshalb die ungarischen Behörden am 11. August 2015 um Wiederaufnahme des Beschwerde-führers unter Hinweis auf Art. 18 Abs. 1 Bst. b Dublin-III-VO. Die ungarischen Behörden liessen das Übernahmeersuchen innert der in Art. 25 Abs. 1 Dublin-III-VO vorgesehenen Frist unbeantwortet, womit sie die Zuständigkeit Ungarns implizit anerkannten (Art. 25 Abs. 2 Dublin-III-VO). Der Beschwerdeführer bestreitet nicht, in Ungarn ein Asylgesuch eingereicht zu haben, und auch die grundsätzliche Zuständigkeit dieses Mitgliedstaates blieb unbestritten. Die grundsätzliche Zuständigkeit Ungarns wäre somit gegeben.</w:t>
      </w:r>
    </w:p>
    <w:p>
      <w:r>
        <w:rPr>
          <w:b/>
        </w:rPr>
        <w:t>E. 6.1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Artikels 4 der EU-Grundrechtecharta mit sich bringen würden.</w:t>
      </w:r>
    </w:p>
    <w:p>
      <w:r>
        <w:rPr>
          <w:b/>
        </w:rPr>
        <w:t>E. 6.2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Mit derselben Begründung, wie sie vorstehend dargelegt wurde, ist es dem Gericht auch vorliegend nicht möglich, die Vorbringen der Beschwerde vom 4. September 2015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7</w:t>
      </w:r>
    </w:p>
    <w:p>
      <w:r>
        <w:t>Nach dem Gesagten ist die Beschwerde gutzuheissen, soweit die Aufhebung der vorinstanzlichen Verfügung beantragt wurde.</w:t>
      </w:r>
    </w:p>
    <w:p>
      <w:r>
        <w:rPr>
          <w:b/>
        </w:rPr>
        <w:t>E. 8</w:t>
      </w:r>
    </w:p>
    <w:p>
      <w:r>
        <w:t>Bei diesem Ausgang des Verfahrens sind keine Kosten zu erheben (Art. 63 Abs. 1 und 2 VwVG).</w:t>
      </w:r>
    </w:p>
    <w:p>
      <w:r>
        <w:rPr>
          <w:b/>
        </w:rPr>
        <w:t>E. 9</w:t>
      </w:r>
    </w:p>
    <w:p>
      <w:r>
        <w:t>Dem im Verfahren nicht vertretenen Beschwerdeführer sind gemäss den Akten keine notwendigen und verhältnismässig hohen Parteikosten gemäss Art. 64 Abs. 1 VwVG entstanden, weshalb ihm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