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E-5403/2012 vom 16. November 2012</w:t>
      </w:r>
    </w:p>
    <w:p>
      <w:r>
        <w:t>Bundesverwaltungsgericht, 2012-11-16, DE</w:t>
      </w:r>
    </w:p>
    <w:p>
      <w:r>
        <w:rPr>
          <w:b/>
        </w:rPr>
        <w:t xml:space="preserve">Quelle: </w:t>
      </w:r>
      <w:r>
        <w:t>https://mcp.opencaselaw.ch/entscheid/bvger_E-5403_2012</w:t>
      </w:r>
    </w:p>
    <w:p>
      <w:r>
        <w:t>FR: TAF E-5403/2012 du 16 novembre 2012</w:t>
      </w:r>
    </w:p>
    <w:p>
      <w:r>
        <w:t>IT: TAF E-5403/2012 del 16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In prozessualer Hinsicht beantragt der Beschwerdeführer die Gewährung einer Nachfrist zur Begründung der Beschwerde. Dazu führt er aus, die bei der Vorinstanz zur Einsicht bestellten Akten seien ihm noch nicht zugestellt worden. Am 18. September 2012 ersuchte der Rechtsvertreter des Beschwerdeführers beim BFM um Einsicht in die Akten (Eingang BFM: 21. September 2012). Mit eingeschriebener Sendung vom 27. September 2012 stellte die Vorinstanz dem Rechtsvertreter die Kopien der Akten zu. Gemäss Abklärungen bei der Post wurde die Sendung am 28. September 2012 um 08.03 Uhr dem Rechtsvertreter via Postfach zugestellt. Um 8.03.47 Uhr wurde seitens des Rechtsvertreters der Empfang der Sendung unterschriftlich bestätigt. Der Rechtsvertreter des Beschwerdeführers war somit seit dem 28. September 2012, mithin im Zeitpunkt der Beschwerdeeinreichung (Datum Beschwerde 15. Oktober 2012) seit rund zwei Wochen im Besitze der vorinstanzlichen Akten. Bei dieser Sachlage besteht keine Veranlassung zur Ansetzung einer Nachfrist zur Begründung der Beschwerde. Der Antrag ist abzuweisen.</w:t>
      </w:r>
    </w:p>
    <w:p>
      <w:r>
        <w:rPr>
          <w:b/>
        </w:rPr>
        <w:t>E. 4.1</w:t>
      </w:r>
    </w:p>
    <w:p>
      <w:r>
        <w:t>Gemäss Art. 3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5</w:t>
      </w:r>
    </w:p>
    <w:p>
      <w:r>
        <w:t>Die Vorinstanz kommt in der angefochtenen Verfügung zum Schluss, die Vorbringen des Beschwerdeführers würden weder den Anforderungen an die Flüchtlingseigenschaft gemäss Art. 3 AsylG noch denjenigen an das Glaubhaftmachen gemäss Art. 7 AsylG standhalten. Zur Begründung führt sie aus, einfache Mitglieder der legalen BDP-Partei seien keinen staatlichen Massnahmen asylrelevanten Ausmasses ausgesetzt. Was die Aktivitäten des Beschwerdeführers für die Partei anbelange, so sei er nie angezeigt, nie gesucht oder festgenommen worden. Des Weiteren habe sich der Beschwerdeführer im Verlaufe des Verfahrens zu wesentlichen Punkten unvereinbar geäussert. Namentlich habe er widersprüchlich zur Suche nach ihm, zum Ausreisedatum und zur Verfolgung durch den Dorfvorsteher ausgesagt. Die diesbezüglich bestehenden Zweifel an der Glaubhaftigkeit könnten auch durch das eingereichte Schreiben des Dorfvorstehers nicht ausgeräumt werden, da solche Dokumente leicht zu fälschen seien oder Gefälligkeitscharakter hätten. Die Vorinstanz hat den Massstab des Glaubhaftmachens nach Art. 7 AsylG korrekt angewendet. Sie hat in der angefochtenen Verfügung einlässlich begründet, weshalb die Flüchtlingseigenschaft als nicht erfüllt gilt und weshalb die Vorbringen unglaubhaft seien. In der Rechtsmitteleingabe setzt sich der Beschwerdeführer mit der vorinstanzlichen Würdigung nicht auseinander und zeigt nicht auf, inwiefern diese Bundesrecht verletzen soll. Solches ist auch nicht ersichtlich. Sodann behauptet er lediglich und legt nicht ansatzweise dar, inwiefern die Vorinstanz das eingereichte Beweismittel willkürlich gewürdigt haben soll. Den Akten sind keine entsprechenden Hinweise zu entnehmen. Der Beschwerdeführer hat somit nichts vorgebracht, das geeignet wäre, die Flüchtlingseigenschaft nachzuweisen oder glaubhaft zu machen. Die Vorinstanz hat das Asylgesuch demnach zu Recht abgelehnt.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in die Türkei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In der Rechtsmitteleingabe äussert sich der Beschwerdeführer nicht zur Zumutbarkeit des Vollzug der Wegweisung. Um Wiederholungen zu vermeiden, kann auf die zutreffenden Erwägungen in der angefochtenen Verfügung verwiesen werden. Der Vollzug der Wegweisung ist zumutbar.</w:t>
      </w:r>
    </w:p>
    <w:p>
      <w:r>
        <w:rPr>
          <w:b/>
        </w:rPr>
        <w:t>E. 7.4</w:t>
      </w:r>
    </w:p>
    <w:p>
      <w:r>
        <w:t>Der Beschwerdeführer ist im Besitze einer türkischen Identitätskarte (Nüfus), weshalb der Vollzug der Wegweisung im Sinne von Art. 83 Abs. 2 AuG möglich ist.</w:t>
      </w:r>
    </w:p>
    <w:p>
      <w:r>
        <w:rPr>
          <w:b/>
        </w:rPr>
        <w:t>E. 7.5</w:t>
      </w:r>
    </w:p>
    <w:p>
      <w:r>
        <w:t>Zusammenfassend hat die Vorinstanz den Vollzug der Wegweisung zutreffend als zulässig, zumutbar und möglich bezeichnet, weshalb eine vorläufige Aufnahme des Beschwerdeführers ausser Betracht fällt.</w:t>
      </w:r>
    </w:p>
    <w:p>
      <w:r>
        <w:rPr>
          <w:b/>
        </w:rPr>
        <w:t>E. 8</w:t>
      </w:r>
    </w:p>
    <w:p>
      <w:r>
        <w:t>Nach dem Gesagten ergibt sich, dass die angefochtene Verfügung weder Bundesrecht verletzt noch sonst wie zu beanstanden ist (Art. 106 Abs. 1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