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E-5399/2013 vom 14. Februar 2014</w:t>
      </w:r>
    </w:p>
    <w:p>
      <w:r>
        <w:t>Bundesverwaltungsgericht, 2014-02-14, DE</w:t>
      </w:r>
    </w:p>
    <w:p>
      <w:r>
        <w:rPr>
          <w:b/>
        </w:rPr>
        <w:t xml:space="preserve">Quelle: </w:t>
      </w:r>
      <w:r>
        <w:t>https://mcp.opencaselaw.ch/entscheid/bvger_E-5399_2013</w:t>
      </w:r>
    </w:p>
    <w:p>
      <w:r>
        <w:t>FR: TAF E-5399/2013 du 14 février 2014</w:t>
      </w:r>
    </w:p>
    <w:p>
      <w:r>
        <w:t>IT: TAF E-5399/2013 del 14 febbraio 2014</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wie auch vorliegend - endgültig (vgl. Art. 83 Bst. d Ziff. 1 des Bundesgerichtsgesetzes vom 17. Juni 2005 [BGG, SR 173.110]; Art. 105 des Asylgesetzes vom 26. Juni 1998 [AsylG, SR 142.31]).</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1.3</w:t>
      </w:r>
    </w:p>
    <w:p>
      <w:r>
        <w:t>Das Verfahren richtet sich nach dem VwVG, soweit das VGG und das AsylG nichts anderes bestimmen (Art. 37 VGG und Art. 6 AsylG).</w:t>
      </w:r>
    </w:p>
    <w:p>
      <w:r>
        <w:rPr>
          <w:b/>
        </w:rPr>
        <w:t>E. 1.4</w:t>
      </w:r>
    </w:p>
    <w:p>
      <w:r>
        <w:t>Die Beschwerde ist im Verfahren einzelrichterlicher Zuständigkeit mit Zustimmung eines zweiten Richters zu behandeln, weil sie sich im Ergebnis als offensichtlich begründet erweist (Art. 111 Bst. e AsylG).</w:t>
      </w:r>
    </w:p>
    <w:p>
      <w:r>
        <w:rPr>
          <w:b/>
        </w:rPr>
        <w:t>E. 2</w:t>
      </w:r>
    </w:p>
    <w:p>
      <w:r>
        <w:t>Die Kognition des Bundesverwaltungsgerichts und die zulässigen Rügen bestimmen sich nach Art. 106 Abs. 1 AsylG.</w:t>
      </w:r>
    </w:p>
    <w:p>
      <w:r>
        <w:rPr>
          <w:b/>
        </w:rPr>
        <w:t>E. 3.1</w:t>
      </w:r>
    </w:p>
    <w:p>
      <w:r>
        <w:t>Die Vorinstanz ist in Verfahren, die Staatsangehörige Sri Lankas tamilischer Ethnie betreffen, systematisch dazu übergegangen, keine Ausreisefristen mehr zu verhängen und bereits angeordnete Ausreisefristen aufzuheben. Faktisch zieht sie damit sämtliche Verfahren (auch solche im Vollzugsstadium) in Wiedererwägung, und zwar unbesehen der konkreten Umstände im Einzelfall. Das vorinstanzliche Vorgehen geht auf zwei im August 2013 bekannt gewordene Vorfälle sri-lankischer Rückkehrer zurück, welche in der Schweiz jeweils erfolglos ein Asylverfahren durchlaufen haben und weggewiesen wurden (vgl. Medienmitteilung des BFM vom 4. September 2013: "Bundesamt hat Rückführungen nach Sri Lanka vorläufig ausgesetzt"). Die sri-lankischen Behörden haben die tamilischen Rückkehrer bei der Wiedereinreise in Haft genommen. Daraufhin hat die Vorinstanz in Aussicht gestellt, die beiden Vorfälle und eine allfällige Veränderung der allgemeinen Situation und insbesondere die Lage der Rückkehrenden in Sri Lanka vertieft abzuklären. Hierfür ersuchte sie das Uno-Hochkommissariat für Flüchtlinge (UNHCR), die beiden Fälle einer Qualitätsprüfung zu unterziehen sowie anschliessend auch die Dossiers jener Personen zu überprüfen, deren Gesuche rechtskräftig abgelehnt worden sind und die mit der Rückführung nach Sri Lanka hätten rechnen müssen (vgl. Medienmitteilung des BFM vom 3. Oktober 2013: "Sri Lanka gibt bekannt, warum zwei ehemalige Asylsuchende in Haft sind"; Neue Zürcher Zeitung [NZZ] vom 4. Oktober 2013: "UNHCR überprüft Asyldossiers - zwei zurückgeschickte Tamilen seit Wochen in Haft"). Die Vorinstanz geht damit selbst davon aus, dass der Sachverhalt, wie er der Verfügung vom 23. August 2013 zugrunde liegt, offensichtlich nicht vollständig festgestellt ist. Denn es besteht kein Zweifel, dass eine neue Lagebeurteilung vor Ort sich auf die konkrete Feststellung des rechtserheblichen Sachverhalts und mithin auf den Wegweisungsvollzugspunkt auswirken kann.</w:t>
      </w:r>
    </w:p>
    <w:p>
      <w:r>
        <w:rPr>
          <w:b/>
        </w:rPr>
        <w:t>E. 3.2</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Vorliegend liegt der Mangel in einer unvollständigen Sachverhaltsfeststellung, wobei die unterbliebenen notwendigen Abklärungen eine relativ aufwändige und umfangreiche Beweiserhebung darstellen, weshalb sich eine Kassation der angefochtenen Verfügung rechtfertigt. Im Übrigen bleibt auf diese Weise der Instanzenzug erhalten, was umso wichtiger ist, als das Bundesverwaltungsgericht letztinstanzlich entscheidet.</w:t>
      </w:r>
    </w:p>
    <w:p>
      <w:r>
        <w:rPr>
          <w:b/>
        </w:rPr>
        <w:t>E. 4</w:t>
      </w:r>
    </w:p>
    <w:p>
      <w:r>
        <w:t>Die Beschwerde ist demnach gutzuheissen. Die angefochtene Verfügung ist aufzuheben und die Sache zur vollständigen Sachverhaltsfeststellung sowie zu neuer Entscheidung an die Vorinstanz zurückzuweisen. Die Akten sowie eine Kopie der Beschwerdeschrift und der im Beschwerdeverfahren eingereichten Beweismittel, welche ebenfalls Prozessstoff des vorinstanzlichen Verfahrens bilden werden, werden dem BFM zugestellt. Auf die weiteren Vorbringen in der Rechtsmit­telein­gabe ist aufgrund der vorliegenden Kassation zum heutigen Zeit­punkt nicht näher einzugehen.</w:t>
      </w:r>
    </w:p>
    <w:p>
      <w:r>
        <w:rPr>
          <w:b/>
        </w:rPr>
        <w:t>E. 5.1</w:t>
      </w:r>
    </w:p>
    <w:p>
      <w:r>
        <w:t>Bei diesem Ausgang des Verfahrens sind keine Kosten zu erheben (Art. 63 Abs. 1 und 2 VwVG). Der am 25. Oktober 2013 geleistete Kostenvorschuss von Fr. 600.-- ist dem Beschwerdeführer vom Gericht zurückzuerstatten.</w:t>
      </w:r>
    </w:p>
    <w:p>
      <w:r>
        <w:rPr>
          <w:b/>
        </w:rPr>
        <w:t>E. 5.2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Das Bundesverwaltungsgericht erachtet den in der Kostennote vom 14. November 2013 ausgewiesenen zeitlichen Vertretungsaufwand als nicht vollumfänglich angemessen, weshalb er zu reduzieren ist. Namentlich ist zu berücksichtigen, dass etliche Beweismittel (insbesondere Länderberichte) keinen individuellen Bezug zum Beschwerdeführer aufweisen, dass ferner weite Züge der Beschwerdebegründung ebenso wie zahlreiche Beweismittel, soweit sie auf die allgemeine Lage in Sri Lanka Bezug nehmen, in diversen vom mandatierten Rechtsvertreter geführten Beschwerdeverfahren in identischer Weise eingereicht wurden und dass sich schliesslich die Eingaben teils in redundanten Ausführungen erschöpfen. Unter Berücksichtigung der massgebenden Bemessungsfaktoren (Art. 9-13 VGKE) hat das BFM dem Beschwerdeführer eine Parteientschädigung in der Höhe von insgesamt Fr. 2'000.- (inkl. Auslagen und Mehrwertsteuer)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