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E-5396/2019 vom 5. November 2019</w:t>
      </w:r>
    </w:p>
    <w:p>
      <w:r>
        <w:t>Bundesverwaltungsgericht, 2019-11-05, DE</w:t>
      </w:r>
    </w:p>
    <w:p>
      <w:r>
        <w:rPr>
          <w:b/>
        </w:rPr>
        <w:t xml:space="preserve">Quelle: </w:t>
      </w:r>
      <w:r>
        <w:t>https://mcp.opencaselaw.ch/entscheid/bvger_E-5396_2019</w:t>
      </w:r>
    </w:p>
    <w:p>
      <w:r>
        <w:t>FR: TAF E-5396/2019 du 5 novembre 2019</w:t>
      </w:r>
    </w:p>
    <w:p>
      <w:r>
        <w:t>IT: TAF E-5396/2019 del 5 novembre 2019</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3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verzichtet (Art. 111a Abs. 1 AsylG).</w:t>
      </w:r>
    </w:p>
    <w:p>
      <w:r>
        <w:rPr>
          <w:b/>
        </w:rPr>
        <w:t>E. 3</w:t>
      </w:r>
    </w:p>
    <w:p>
      <w:r>
        <w:t>Mit Verfügung vom 18. September 2019 wurde dem Beschwerdeführer die Einreise in die Schweiz verweigert und der Transitbereich des Flughafens Zürich für die Dauer von maximal 60 Tagen als Aufenthaltsort zugewiesen. Diese Verfügung ist unangefochten in Rechtskraft erwachsen (vgl. Art. 108 Abs. 4 AsylG). Der Antrag auf Bewilligung der Einreise in die Schweiz und Zuweisung ans Bundesasylzentrum in Zürich als vorsorgliche Massnahme ist daher abzuweisen.</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des Entscheides (vgl. BVGE 2012/21 E. 5.1, 2011/1 E. 2).</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Eine Partei hat unter anderem Anspruch auf Einsicht in ihre Eingaben an die Behörden und in alle als Beweismittel dienenden Aktenstücke (Art. 26 Abs. 1 Bst. a und b VwVG).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Die Vorinstanz nahm in der Begründung ihrer Verfügung Bezug auf die Angaben des mutmasslichen Bruders des Beschwerdeführers. So führte sie aus, der in der Schweiz lebende mutmassliche Bruder habe angegeben, er habe mit seinem leiblichen Bruder (Beschwerdeführer) bei der Grossmutter und der Tante mütterlicherseits gelebt, da sie von den Eltern verlassen worden seien, als der Beschwerdeführer einjährig gewesen sei. Im Gegensatz dazu habe der Beschwerdeführer ausgeführt, er sei bei seiner Mutter aufgewachsen. Aus den vorinstanzlichen Akten ist nicht ersichtlich, dass die Vorinstanz dem Beschwerdeführer vor Erlass des Entscheid-entwurfs das rechtliche Gehör zu den Angaben seines Bruders gewährt hätte (Art. 30 VwVG). Dies stellt eine Verletzung des rechtlichen Gehörs dar. Ebenso wenig ist die Vorinstanz ihrer Pflicht zur vollständigen Aktenführung nachgekommen, da aus den vorinstanzlichen Akten nicht hervorgeht, dass sie die Akten des Bruders beigezogen hat. Im Weiteren stützt sich die Vorinstanz in ihren Erwägungen auf eine als geheim qualifizierte Akte (A1051132-13/2). Aus dem Protokoll der Anhörung (1051132-14/2 F 7 ff.) ist ersichtlich, dass der Beschwerdeführer offenbar mit dem Inhalt dieser Akte konfrontiert worden ist. Es ist indes nirgends vermerkt, wann der Beschwerdeführer vom Inhalt dieser Akte Kenntnis erhalten hat. Dies stellt ebenfalls eine Verletzung der Aktenführungspflicht dar.</w:t>
      </w:r>
    </w:p>
    <w:p>
      <w:r>
        <w:rPr>
          <w:b/>
        </w:rPr>
        <w:t>E. 6</w:t>
      </w:r>
    </w:p>
    <w:p>
      <w:r>
        <w:t>Zusammenfassend ist festzustellen, dass die Vorinstanz den Anspruch des Beschwerdeführers auf rechtliches Gehör verletzt hat und ihrer Aktenführungspflicht ungenügend nachgekommen ist. Eine Heilung ist aufgrund der Schwere der Verletzung ausgeschlossen. Die Beschwerde ist daher gutzuheissen. Die Verfügung vom 7. Oktober 2019 ist aufzuheben und die Sache ist im Sinne der Erwägungen zur Gewährung des rechtlichen Gehörs und zur Neubeurteilung an die Vorinstanz zurückzuweisen. Die Vorinstanz ist insbesondere gehalten, dem Beschwerdeführer Einsicht in die Akten seines mutmasslichen Bruders - unter Vorbehalt von dessen Zustimmung - zu gewähren und ihm eine Frist zur Stellungnahme einzuräumen. Zudem hat sie ihrer Pflicht zur vollständigen Aktenführung nachzukommen.</w:t>
      </w:r>
    </w:p>
    <w:p>
      <w:r>
        <w:rPr>
          <w:b/>
        </w:rPr>
        <w:t>E. 7.1</w:t>
      </w:r>
    </w:p>
    <w:p>
      <w:r>
        <w:t>Bei diesem Ausgang des Verfahrens sind keine Kosten zu erheben (Art. 63 Abs. 1 und 2 VwVG). Damit ist das Gesuch um unentgeltliche Prozessführung gegenstandslos geworden.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 Lasten der Vorinstanz eine Parteientschädigung von insgesamt Fr. 1'500.-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