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E-5396/2008 vom 12. November 2010</w:t>
      </w:r>
    </w:p>
    <w:p>
      <w:r>
        <w:t>Bundesverwaltungsgericht, 2010-11-12, DE</w:t>
      </w:r>
    </w:p>
    <w:p>
      <w:r>
        <w:rPr>
          <w:b/>
        </w:rPr>
        <w:t xml:space="preserve">Quelle: </w:t>
      </w:r>
      <w:r>
        <w:t>https://mcp.opencaselaw.ch/entscheid/bvger_E-5396_2008</w:t>
      </w:r>
    </w:p>
    <w:p>
      <w:r>
        <w:t>FR: TAF E-5396/2008 du 12 novembre 2010</w:t>
      </w:r>
    </w:p>
    <w:p>
      <w:r>
        <w:t>IT: TAF E-5396/2008 del 12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In casu geht es ausschliesslich um die Frage der Zuerkennung der Flüchtlingseigenschaft und als Folge davon um die Gewährung von Asyl (Anträge 1, 2 und 3 der Beschwerde); der Antrag um Gewährung der unentgeltlichen Rechtspflege (Antrag 4 der Beschwerde) ist mit der Zwischenverfügung des Gerichts vom 26. August 2008 abgewie-sen worden.</w:t>
      </w:r>
    </w:p>
    <w:p>
      <w:r>
        <w:rPr>
          <w:b/>
        </w:rPr>
        <w:t>E. 3.1</w:t>
      </w:r>
    </w:p>
    <w:p>
      <w:r>
        <w:t>Das BFM führte zur Begründung seines Entscheides aus, der Be-schwerdeführer mache geltend, von den LTTE zwangsrekrutiert wor-den zu sein. Er habe indessen fliehen können, worauf ihn die LTTE ge-sucht hätten, weshalb er den Wohnort habe wechseln müssen; auch heute noch (2008, Anm. BVGer) werde nach ihm gesucht. Bei diesen Behelligungen handle es sich um solche von Dritten, welche der Staat bekämpfe. Der Beschwerdeführer könne sich diesen Übergriffen durch die Wohnsitznahme in einem von den staatlichen Organen kontrollier-ten Gebiet entziehen. Zur Festnahme und Inhaftierung in einem Ar-meecamp sei anzumerken, dass letztere in Anbetracht aller Umstände doch von relativ kurzer Dauer gewesen sei. Dass seitens der Sicher-heitskräfte kein Interesse an seiner Person mehr bestehe, ergebe sich daraus, dass er nach wenigen Tagen freigelassen worden sei. An die-ser Einschätzung ändere auch nichts, dass die Armee in der Folge kontrolliert habe, ob er sich zuhause aufhalte. Die Vorbringen des Beschwerdeführers hielten den Anforderungen an die Flüchtlingseigenschaft gemäss Art. 3 AsylG nicht stand; dem-zufolge erfülle der Gesuchsteller die Flüchtlingseigenschaft nicht, so dass sein Asylgesuch abzulehnen sei.</w:t>
      </w:r>
    </w:p>
    <w:p>
      <w:r>
        <w:rPr>
          <w:b/>
        </w:rPr>
        <w:t>E. 3.2</w:t>
      </w:r>
    </w:p>
    <w:p>
      <w:r>
        <w:t>In der Beschwerde wird der Vorinstanz entgegengehalten, der Be-schwerdeführer, dessen Bruder von den LTTE festgenommen worden und seither verschwunden sei, habe sich einer Zwangsausbildung durch die LTTE entziehen wollen, weshalb er zu seiner Tante nach Va-vuniya geflüchtet sei. Es sei ihm nach seiner Festnahme durch die Ar-mee nicht gelungen, diese von seiner Unschuld zu überzeugen; immer wieder sei er in der Folge kontrolliert worden. Zumal junge Tamilen oft Opfer von Entführungen und Verschleppungen oder Inhaftierungen durch die Armee geworden seien, habe er um sein Leben fürchten müssen. Der Beschwerdeführer sei ernsthaften Nachteilen ausgesetzt gewesen und habe begründete Furcht, im Falle einer Rückkehr solch-en Nachteilen ausgesetzt zu werden. Im Lichte dieser Ausführungen sei er als Flüchtling im Sinne von Art. 3 AsylG anzuerkennen.</w:t>
      </w:r>
    </w:p>
    <w:p>
      <w:r>
        <w:rPr>
          <w:b/>
        </w:rPr>
        <w:t>E. 3.3</w:t>
      </w:r>
    </w:p>
    <w:p>
      <w:r>
        <w:t>Nach Lehre und Rechtsprechung erfüllt eine asylsuchende Person die Flüchtlingseigenschaft im Sinne von Art. 3 AsylG, wenn sie Nachteile von bestimmter Intensität erlitten hat beziehungsweise mit beachtlicher Wahrscheinlichkeit und in absehbarer Zukunft befürchten muss, welche ihr gezielt und aufgrund bestimmter, in Art. 3 Abs. 1 AsylG aufgezählter Verfolgungsmotive zugefügt worden sind bezie-hungsweise zugefügt zu werden drohen, ohne dass im Heimatstaat ef-fektiver Schutz geboten würde (vgl. Entscheidungen und Mitteilungen der Schweizerischen Asylrekurskommission [EMARK] 2006 Nr. 18 E. 10 S. 201 ff.). Begründete Furcht vor Verfolgung im Sinne von Art. 3 Abs. 1 AsylG liegt vor, wenn konkreter Anlass zur Annahme besteht, letztere hätte sich - aus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Massgeblich kann indessen nicht allein sein, was ein vernünftig denkender, be-sonnener Mensch angesichts geschehener oder drohender Verfol-gungshandlungen zu Recht empfunden hätte. Vielmehr ist diese rein objektive Betrachtungsweise zusätzlich durch das von der betroffenen Person selbst bereits Erlebte und das Wissen um Konsequenzen in vergleichbaren Fällen zu ergänzen. Dabei hat eine Person, die bereits früher staatlicher Verfolgung ausgesetzt war, objektive Gründe für eine ausgeprägtere Furcht, selbst wenn die frühere Verfolgung für sich allein mangels der erforderlichen Intensität keine flüchtlingsrechtliche Relevanz aufweisen sollte (vgl. EMARK 2005 Nr. 21 E. 7 S. 193 f., EMARK 2004 Nr. 1 E. 6a S. 9). Die erlittene Verfolgung beziehungs-weise die begründete Furcht vor künftiger Verfolgung muss zudem sachlich und zeitlich kausal für die Ausreise aus dem Heimat- oder Herkunftsstaat und grundsätzlich auch im Zeitpunkt des Asylent-scheids noch aktuell sein. Im Übrigen muss feststehen, dass die von einer Verfolgung bedrohte asylsuchende Person über keine inner-staatliche Fluchtalternative verfügt (vgl. zum Ganzen EMARK 2005 Nr. 7 E. 7.1 S. 69 f. mit weiteren Hinweisen).</w:t>
      </w:r>
    </w:p>
    <w:p>
      <w:r>
        <w:rPr>
          <w:b/>
        </w:rPr>
        <w:t>E. 3.4</w:t>
      </w:r>
    </w:p>
    <w:p>
      <w:r>
        <w:t>Der Beschwerdeführer macht begründete Furcht vor künftiger Verfolgung durch srilankische Sicherheitskräfte geltend. In Anbetracht der Lage zum Zeitpunkt seiner Ausreise aus dem Heimatstaat mag dies begründet gewesen sein. In der Zwischenzeit hat sich die Situation in Sri Lanka aber grundlegend geändert. Der Krieg ist im Mai 2009 mit der Niederlage zu Ende gegangen. Damit befindet sich das gesamte Land erstmals seit 1983 wieder unter Regierungskontrolle. Die Sicher-heits- und Menschenrechtslage ist zwar noch in manchen Bereichen nicht befriedigend und präsentiert sich regional unterschiedlich, aber die im Krieg vorgekommenen massiven Übergriffe durch die LTTE, die Sicherheitskräfte und weitere Dritte sind stark zurückgegangen. Auch wenn nach wie vor zum Teil recht scharfe Kontrollen durchgeführt werden, besteht für die Sicherheitskräfte Sri Lankas kein Anlass mehr, flächendeckend nach LTTE-Mitgliedern oder LTTE-Sympathisanten zu suchen, da diese Organisation zerschlagen und eine Vielzahl von Kadern getötet, inhaftiert worden oder ausser Landes geflüchtet ist. Aber nicht nur von dieser Seite ist keine Bedrohung mehr zu erwarten. Der Beschwerdeführer wurde zwar der Nähe zu den LTTE verdächtigt und deshalb von der Armee - wie zahlreiche andere Tamilen auch - vorübergehend festgenommen, aber den Akten ist nicht zu entneh-men, dass er auch nur ansatzweise über ein Profil verfügt, das ihn ver-dächtig macht; ganz im Gegenteil hat er selber zu Protokoll gegeben, vor einer Ausbildung Angst gehabt zu haben und nie irgendwie aktiv gewesen zu sein. Ohne weitere Ausführungen kann deshalb festge-stellt werden, dass die Aktualität der begründeten Furcht des Beschwerdeführers vor künftiger Verfolgung durch die srilankischen Si-cherheitskräfte aufgrund der zwischenzeitlichen Entwicklung im Hei-matland des Beschwerdeführers zu verneinen ist.</w:t>
      </w:r>
    </w:p>
    <w:p>
      <w:r>
        <w:rPr>
          <w:b/>
        </w:rPr>
        <w:t>E. 4</w:t>
      </w:r>
    </w:p>
    <w:p>
      <w:r>
        <w:t>Zusammenfassend folgt, dass der Beschwerdeführer die Vorausset-zungen zur Zuerkennung der Flüchtlingseigenschaft nicht erfüllt. Die Vorinstanz hat daher das Asylgesuch zu Recht abgelehnt. Es erübrigt sich, auf die weiteren Vorbringen in der Eingabe des Beschwerde-führers einzugehen, da sie an dieser Würdigung nichts zu ändern ver-mögen. (Der Vollständigkeit halber sei an dieser Stelle noch einmal angemerkt, dass das BFM in seiner Verfügung vom 18. Juli 2008 die vorläufige Aufnahme angeordnet hat, weshalb sich Ausführungen zur Wegweisung und deren Vollzug erübrigen.)</w:t>
      </w:r>
    </w:p>
    <w:p>
      <w:r>
        <w:rPr>
          <w:b/>
        </w:rPr>
        <w:t>E. 5</w:t>
      </w:r>
    </w:p>
    <w:p>
      <w:r>
        <w:t>Bei diesem Ausgang des Verfahrens sind die Verfahrenskosten von Fr. 600.- (Art. 1-3 des Reglements vom 21. Februar 2008 über die Kosten und Entschädigungen vor dem Bundesverwaltungsgericht [VGKE, SR 173.320] dem Beschwerdeführer aufzuerlegen (Art. 63 Abs. 1 VwVG) und mit dem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