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E-5393/2017 vom 23. März 2018</w:t>
      </w:r>
    </w:p>
    <w:p>
      <w:r>
        <w:t>Bundesverwaltungsgericht, 2018-03-23, DE</w:t>
      </w:r>
    </w:p>
    <w:p>
      <w:r>
        <w:rPr>
          <w:b/>
        </w:rPr>
        <w:t xml:space="preserve">Quelle: </w:t>
      </w:r>
      <w:r>
        <w:t>https://mcp.opencaselaw.ch/entscheid/bvger_E-5393_2017</w:t>
      </w:r>
    </w:p>
    <w:p>
      <w:r>
        <w:t>FR: TAF E-5393/2017 du 23 mars 2018</w:t>
      </w:r>
    </w:p>
    <w:p>
      <w:r>
        <w:t>IT: TAF E-5393/2017 del 23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Die Beschwerdeführenden werfen der Vorinstanz eine Verletzung des Anspruchs auf rechtliches Gehör und der Pflicht zur vollständigen und richtigen Abklärung des rechtserheblichen Sachverhaltes vor. Die Vorbringen werden allerdings weitgehend ohne nähere Begründung geltend gemacht.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Dieses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Zürich/Basel/Genf 2013, Rz. 1043).</w:t>
      </w:r>
    </w:p>
    <w:p>
      <w:r>
        <w:rPr>
          <w:b/>
        </w:rPr>
        <w:t>E. 4.3</w:t>
      </w:r>
    </w:p>
    <w:p>
      <w:r>
        <w:t>Aus der angefochtenen Verfügung ergeben sich keine Anhaltspunkte, die den Schluss zuliessen, die Vorinstanz habe irgendeine dieser Pflichten verletzt. Die Rüge, das SEM habe den Anspruch der Beschwerdeführenden auf rechtliches Gehör verletzt, indem es ihnen jede Möglichkeit genommen habe, vor Erhalt des Asylentscheides weitere Belege aus ihrer Heimat beizubringen, geht fehl. Die Vorinstanz hat mit Schreiben vom 7. Juli 2017 die Beschwerdeführenden aufgefordert, innerhalb eines Monats die von ihnen anlässlich der Anhörungen in Aussicht gestellten Originalunterlagen nachzureichen (vgl. vorinstanzliche Akten A14). Dieser Aufforderung sind sie nicht nachgekommen, sondern reichten lediglich weitere Kopien verschiedener, zum Teil bereits bei den Akten befindlicher, Dokumente ein. Im Übrigen geht aus einer Aktennotiz der Vorinstanz vom 20. Juli 2017 hervor, dass sie das Migrationsamt des Kantons H._______ kontaktiert und ersucht hatte, allenfalls bei der Gemeinde oder beim Kanton eingereichte Dokumente an sie weiterzuleiten (vgl. A15). Entgegen der Ansicht der Beschwerdeführenden besteht auch kein Anlass, nachdem das SEM die Originale der beantragten Unterlagen - nach Erlass der angefochtenen Verfügung - erhalten hat, die Sache an dieses zur neuen Beurteilung zurückzuweisen. Wie nachfolgend dargelegt wird (vgl. E. 7), sind die eingereichten Dokumente nicht geeignet, etwas am Ergebnis der vorinstanzlichen Verfügung zu ändern.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(insbesondere Übereinstimmung bezüglich des wesentlichen Sachverhaltes, Substanziiertheit und Plausibilität der Angaben),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vgl. auch Ludewig/Baumer/Tavor, Einführung in die Aussagepsychologie, in: Aussagepsychologie für die Rechtspraxis, 2017, S. 47 ff.). Gemäss Lehre und konstanter Praxis kommt den protokollierten Aussagen im Rahmen einer BzP zu den Ausreisegründen angesichts des summarischen Charakters dieser Befragung für die Beurteilung der Glaubhaftigkeit der vorgebrachten Asylgründe nur ein beschränkter Beweiswert zu. Aussagen dürfen für die Beurteilung der Glaubhaftigkeit nur dann herangezogen werden, wenn klare Vorbringen in der BzP in wesentlichen Punkten der in der Anhörung zu den Asylgründen protokollierten Begründung des Asylgesuchs diametral abweichen oder wenn bestimmte Ereignisse oder Befürchtungen, welche später als zentrale Asylgründe genannt werden, in der BzP nicht zumindest ansatzweise erwähnt werden (vgl. bereits Entscheidungen und Mitteilungen der vormaligen Schweizerischen Asylrekurskommission [EMARK] 1993 Nr. 3).</w:t>
      </w:r>
    </w:p>
    <w:p>
      <w:r>
        <w:rPr>
          <w:b/>
        </w:rPr>
        <w:t>E. 6.1</w:t>
      </w:r>
    </w:p>
    <w:p>
      <w:r>
        <w:t>Zur Begründung des ablehnenden Entscheids befand die Vorinstanz die Vorbringen der Beschwerdeführenden als den Anforderungen an die Glaubhaftigkeit im Sinne von Art. 7 AsylG nicht genügend, weshalb sie auf die Prüfung der Asylrelevanz verzichtete. Bei den eingereichten Beweismitteln handle es sich um Kopien von geringem Beweiswert. Es sei bekannt, dass gefälschte Dokumente in Bangladesch leicht käuflich erwerbbar seien. Die Ausführungen des Beschwerdeführers unter anderem zu seiner und der Rolle seiner (...) bei der BNP, zur politischen Entwicklung in Bangladesch, zu den Besuchen auf dem Polizeiposten, zur Spitalaufenthaltsdauer und dem Todesdatum seines (...) seien widersprüchlich. Angesichts der offensichtlichen Unglaubhaftigkeitselemente erübrige es sich, auf weitere Widersprüche einzugehen. Die Beschwerdeführerin habe keine eigenen Asylgründe geltend gemacht, sondern ausgeführt, aufgrund der Probleme ihres Ehemannes ausgereist zu sein. Den Vollzug der Wegweisung erachtete die Vorinstanz als völkerrechtlich zulässig sowie technisch möglich und praktisch durchführbar. In Bangladesch herrsche keine Situation allgemeiner Gewalt, die sich über das ganze Staatsgebiet oder weite Teile desselben erstrecken würde. Die Familien der jungen und gesunden Beschwerdeführenden würden mehrheitlich nach wie vor in Bangladesch leben. Der Beschwerdeführer habe gut verdient und entstamme einer Mittelklassefamilie. Sein (...) sei ein wohlhabender Mann und habe die Reise in die Schweiz finanziert. Diese Umstände würden die soziale und wirtschaftliche Integration der Beschwerdeführenden in Bangladesch begünstigen. Der Wegweisungsvollzug dorthin sei daher auch zumutbar.</w:t>
      </w:r>
    </w:p>
    <w:p>
      <w:r>
        <w:rPr>
          <w:b/>
        </w:rPr>
        <w:t>E. 6.2</w:t>
      </w:r>
    </w:p>
    <w:p>
      <w:r>
        <w:t>Auf Beschwerdeebene konkretisieren die Beschwerdeführenden verschiedene Punkte ihrer Aussagen und führen aus, die BzP dürfe bezüglich ihres Beweiswertes im Asylpunkt nicht der Anhörung gleichgestellt und ihre Bedeutung nicht überbewertet werden. Sie dürfe nicht dazu verwendet werden, um Widersprüche zu konstruieren. Die vom SEM verlangten Originale der Beweisurkunden seien vom Zivilstandesamt zur Eintragung der Geburt des jüngsten Kindes verlangt und sichergestellt worden. Die Beschwerdeführenden seien davon ausgegangen, die Originale würden dem SEM weitergeleitet werden. Zudem sei nicht nachvollziehbar, weshalb das SEM solchen Aufwand betrieben habe, um die Originale zu erhalten, wenn es im angefochtenen Entscheid ohnehin ausführe, dass gefälschte Dokumente in Bangladesch leicht erhältlich seien. Des Weiteren seien die von der Vorinstanz angeführten Widersprüche vermeintlicher Art und würden sich zum Teil auf nicht entscheidrelevante Elemente beziehen. So bestehe zwischen den Ausführungen des Beschwerdeführers anlässlich der Anhörung, wonach er kein aktives politisches Mitglied der BNP gewesen sei, und seinen Ausführungen anlässlich der BzP, er sei ein einfaches BNP-Mitglied, (...) und (...) für die Partei gewesen, kein Widerspruch. Er habe zwei Mal das Gleiche, jedoch mit unterschiedlichen Worten und unterschiedlicher Gewichtung gesagt. Er sei ein einfaches Mitglied gewesen und habe regelmässig an Versammlungen teilgenommen. (...) sei er auf Wunsch der Familie und nicht aus Überzeugung geworden. Inzwischen werde er von der BNP aufgrund dieser Tätigkeit, gleich wie sein (...), als Führungspersönlichkeit angesehen. In Bezug auf die Rolle seiner (...) bei der BNP habe er nicht sagen wollen, diese seien "einfache Mitglieder", sondern möglicherweise, dass sie "einfach" Mitglieder der BNP gewesen seien. Damit habe er ausdrücken wollen, dass sie ihr Engagement ernster genommen hätten als er selbst. Ungereimtheiten in seinen Aussagen im Zusammenhang mit der Regierungstätigkeit der Präsidentinnen der BNP und der AL würden offensichtlich eine Verwechslung darstellen. Entsprechend könne daraus nichts zu Ungunsten der Glaubhaftigkeit seiner Ausführungen abgeleitet werden. Diese Aussagen seien mit dem Befragungsstress, seiner mangelhaften Bildung oder seiner fehlenden Intelligenz zu erklären. Möglicherweise habe er sich schlicht versprochen. Er präzisiert ferner, dass er sich erst nach dem Vorfall vom (...) Dezember 2014 versteckt habe. Die unterschiedlichen Angaben zum Todesdatum seines (...) seien damit zu erklären, dass sich der Beschwerdeführer versteckt habe und auch an der Beerdigung nicht habe teilnehmen können. Seine Vorbringen seien ferner asylrelevant. Er sei von Anhängern der Regierungspartei verfolgt und sein (...) von ihnen getötet worden. Die Sicherheitskräfte hätten nichts unternommen. Die Polizei sei abhängig von der Regierungspartei. Deshalb habe sie sich geweigert, Anzeigen von Anhängern der Opposition entgegenzunehmen. Den Beschwerdeführer habe sie wie einen Terroristen behandelt und nach ihm gefahndet. Die gegen ihn gerichtete Verfolgung habe ihren Ursprung in einer durch E._______ erstatteten Anzeige. Dieser sei eine mächtige Persönlichkeit und gehöre dem (...) der AL an. Er habe diese Anzeige wahrscheinlich erstattet, um einen Zeugen der Tötung des (...) des Beschwerdeführers auszuschalten. Durch seine Position habe E._______ der Polizei den Befehl erteilen können, den Beschwerdeführer festzunehmen. Die AL und insbesondere E._______ würden genauso die Staatsmacht repräsentieren wie die Sicherheitskräfte. Damit stehe fest, dass der Beschwerdeführer staatlicher Verfolgung ausgesetzt sei. Der Vollzug der Wegweisung müsse, auch unter der Annahme, dass die Verfolgung durch die AL als Verfolgung durch Private angesehen würde, aufgehoben werden, da die Beschwerdeführenden dieser nicht ausweichen könnten. Sie würden ausserhalb ihrer direkten Heimat über keine Bezugspersonen verfügen und könnten nirgends eine Existenz aufbauen. Entsprechend würden sie wieder der AL und der von ihr gesteuerten Polizei in die Hände fallen. Der Beschwerdeführer müsse bei einer Rückkehr nach Bangladesch damit rechnen, in Polizeigewahrsam genommen und gefoltert zu werden. Ferner sei der Vollzug der Wegweisung nach Bangladesch nicht möglich, da das jüngste Kind der Beschwerdeführenden von der angefochtenen Verfügung nicht betroffen sei, da es zum Zeitpunkt des vorinstanzlichen Entscheids, mangels eines Geburtseintrags, im ZEMIS (Zentrales Migrationsinformationssystem) nicht erfasst gewesen sei. Die Beschwerdeführenden könnten sich nicht als Eltern ihres Kindes eintragen lassen, da sie über keine gültigen Reisepässe verfügen würden. Ohne Geburtseintrag könne kein Ersatzreisepapier oder Laissez-passer für das Kind beantragt werden und ohne ein solches könne das Kind nicht reisen. Die Frage der Möglichkeit des Wegweisungsvollzuges sei damit ungenügend abgeklärt worden, weshalb der angefochtene Entscheid zu kassieren und eine vorläufige Aufnahme zu verfügen sei. Zudem würde es gegen Art. 8 EMRK verstossen, wenn die Familie getrennt würde, da das jüngste Kind in der Schweiz bleiben könnte. Mit Beschwerdeergänzungen vom 12. Oktober 2017 und vom 16. Februar 2018 führen die Beschwerdeführenden aus, dass trotz der in der Zwischenzeit ausgestellten Geburtsurkunde zweifelhaft sei, ob ein Reisepapier für ihr jüngstes Kind ausgestellt werden könne, weshalb davon auszugehen sei, dass der Vollzug der Wegweisung nach wie vor unmöglich sei. Der Beschwerdeführer sei nicht als Vater des Kindes eingetragen worden, da er über keinen gültigen Reisepass verfüge. Es müsse eine Vaterschaftsklage erhoben werden. Da die Originale der vom SEM verlangten Beweisurkunden nun vorliegen würden, könne deren Echtheit überprüft werden. Dem beigelegten Zeitungsartikel lasse sich entnehmen, dass der (...) und der (...) des Beschwerdeführers von politischer Rache bedroht seien, die Verfolgung von der AL ausgehe und dass sie von der Regierung keine Gerechtigkeit erfahren würden.</w:t>
      </w:r>
    </w:p>
    <w:p>
      <w:r>
        <w:rPr>
          <w:b/>
        </w:rPr>
        <w:t>E. 7.1</w:t>
      </w:r>
    </w:p>
    <w:p>
      <w:r>
        <w:t>Das SEM ist in seinen Erwägungen zur zutreffenden Erkenntnis gelangt, die Vorbringen der Beschwerdeführenden würden den Anforderungen an die Glaubhaftigkeit nicht genügen. Auf die betreffenden Erwägungen der Vorinstanz gemäss angefochtener Verfügung und Zusammenfassung in E. 6.1. kann mit den nachfolgenden Ergänzungen verwiesen werden. Der Inhalt der Beschwerde führt zu keiner anderen Betrachtungsweise. Die Beschwerdeführenden konnten nicht glaubhaft darlegen, ernsthaften Nachteilen im Sinne von Art. 3 AsylG, sei es seitens der AL, sei es seitens der bangladeschischen Sicherheitskräfte, ausgesetzt gewesen zu sein. Ihnen kann zwar zugestimmt werden, dass gewisse von der Vorinstanz angeführte Widersprüche nicht entscheidrelevant sind (beispielsweise bezüglich der Anzahl durch den Beschwerdeführer absolvierter Schuljahre oder seines Spitalaufenthaltes in Bangladesch). Es kann auch nicht ausgeschlossen werden, dass sich der Beschwerdeführer in Einzelfällen versprochen hat oder es zu Ungenauigkeiten bei der Übersetzung gekommen ist. Dies vermag jedoch nicht die Vielzahl an Widersprüchen in den wesentlichen Punkten seiner Ausführungen zu erklären. So bleiben die Ungereimtheiten in Bezug auf seine Rolle bei der BNP bestehen. Anlässlich der BzP führte er aus, einfaches Mitglied und (...) der Partei gewesen zu sein und für diese (...) zu haben (vgl. A3 F7.01). Anlässlich der Anhörung führte er hingegen aus, im Gegensatz zu seinem (...), seinem (...) und seinem (...) kein aktives politisches Mitglied gewesen zu sein (vgl. A12 F77). Auch auf zweimalige Nachfrage erwähnte er seine Funktion als (...) oder (...) nicht (vgl. A12 F108 f.). Auf diesen Widerspruch angesprochen, führte er aus, er habe diese Tätigkeit ausüben müssen, weil seine Familie ihn so angemeldet habe, er habe aber kein Interesse daran gehabt (vgl. A12 F110 f.). Der Umstand, dass er diese Tätigkeiten nicht aus voller Überzeugung ausgeübt haben mag, vermag nicht zu erklären, weshalb er sich als nicht aktives Mitglied der Partei bezeichnete. Auch die Ausführungen auf Beschwerdeebene, wonach er immer das Gleiche, nur mit anderen Worten gesagt habe, vermögen nicht zu überzeugen. Es bedarf keiner eingehenden Ausführungen, dass die Position eines (...) oder (...) einer Partei, kaum mit dem Begriff einer passiven Mitgliedschaft zu vereinbaren ist. Zudem lassen sich seine Ausführungen anlässlich der BzP und besonders diejenigen anlässlich der Anhörung schwierig mit dem Bestätigungsschreiben der BNP vereinbaren, in welchem festgehalten wird, er sei ein (...) der Partei, ein "(...) Nationalist Party (BNP), (...)". Sein (...) hingegen, den er als aktives Mitglied und (...) der BNP in seinem Dorf bezeichnet (vgl. A12 F71 und F77), wird im Bestätigungsschreiben der BNP als einfaches Mitglied aufgeführt. Widersprüche ergeben sich auch im Zusammenhang mit den Ereignissen vom (...) Dezember 2014: Anlässlich der BzP führte der Beschwerdeführer aus, sein (...) sei von Anhängern der AL verschleppt, stark geschlagen und danach von seinen Cousins halb tot aufgefunden worden. Im Spital habe er (...) Monate verbracht und sei am (...) 2015 gestorben. Der (...) des Beschwerdeführers habe ihm mitgeteilt, dass sein (...) von J._______ und K._______ angegriffen worden sei (vgl. A3 F7.01). Anlässlich der Anhörung gab der Beschwerdeführer dagegen zu Protokoll, er habe gesehen, wie sein (...) geschlagen worden sei und habe die Angreifer vom Sehen gekannt (vgl. A12 F89 ff.). Sein (...) sei von einigen Frauen gerettet worden, habe (...) Monate im Spital verbracht und sei am (...) 2015 zu Hause beerdigt worden (vgl. A12 F77 f., F95 und F98 f.). Seine Erklärung auf Beschwerdeebene, er habe sich versteckt und deshalb nicht wissen können, wann sein (...) verstorben sei, überzeugt nicht, ist er doch gemäss eigenen Angaben in telefonischem Kontakt mit seiner Familie gewesen (vgl. A12 F85) und hat seinen (...) im Spital besucht (vgl. A12 F96). Zudem steht seine Aussage, sich versteckt und nur telefonischen Kontakt mit der Familie gehabt zu haben, im Widerspruch zu seiner Teilnahme - in Begleitung seines (...), seines Cousins und seines (...) - an (...) (vgl. A12 F77 und F87). Auf Beschwerdeebene weicht er denn auch von seinen Angaben anlässlich der Anhörung ab und erklärt, sich erst nach dem (...) Dezember 2014 versteckt zu haben (vgl. Beschwerdeschrift S. 11). In der Beschwerdeschrift führt er des Weiteren aus, E._______ habe Anzeige gegen ihn erstattet, um einen Zeugen der Tötung seines (...) auszuschalten (vgl. dort S. 13). Angesichts des Umstandes, dass mehrere Personen zugegen gewesen sein sollen (sein [...] und seine Cousins), als sein (...) angegriffen worden sei, ist nicht verständlich, weshalb nur gegen den Beschwerdeführer Anzeige erstattet worden sein soll. Sein Vorbringen, er habe die Amtsperioden der jeweiligen Präsidentinnen der AL und der BNP vertauscht beziehungsweise er habe sich versprochen, vermag ebenfalls nicht zu überzeugen. Zum einen hat er ausgeführt, Hasina sei zum ersten Mal im Jahr 2002 an die Macht gekommen. Damals hätten sein (...) und sein (...) bereits Probleme gehabt. Das zweite Mal sei sie im Jahr 2009 an die Macht gekommen, worauf die Belästigungen gegen seinen (...) und seinen (...) wieder angefangen hätten (vgl. A12 F77). Wenn es sich tatsächlich um eine Verwechslung handeln würde und der Beschwerdeführer korrekterweise hätte sagen wollen, dass die BNP im Jahr 2002 an die Macht gekommen sei, wäre nicht nachvollziehbar, weshalb sein (...) und sein (...) unter der Regierung der BNP Belästigungen ausgesetzt gewesen sein sollen, zumal der Beschwerdeführer deren Probleme im Jahr 2009 ebenfalls an die Machtergreifung der AL knüpfte. Bevor er mit der Tatsachenwidrigkeit seiner Ausführungen konfrontiert wurde, fragte der Befrager zwei Mal nach, was der Beschwerdeführer mit seinen Aussagen gemeint habe, dieser korrigierte seine Angaben jedoch nicht (vgl. A12 F114 f.), was ebenfalls darauf hindeutet, dass es sich nicht bloss um eine Verwechslung gehandelt hat. Auch der Umstand, dass die Familienmitglieder des Beschwerdeführers, welche gemäss seinen Angaben höhere oder zumindest die gleichen Positionen bei der BNP innehaben als er selbst (vgl. A12 F71 und F77 die ersten zwei Sätze), nach wie vor in Bangladesch leben (vgl. A12 F18 f), lässt den Schluss zu, dass die von den Beschwerdeführenden geschilderte Bedrohungslage, sollte sie überhaupt bestanden haben, zumindest als übersteigert anzusehen ist. Schliesslich ist auch nicht nachvollziehbar, welcher Bedrohung er nach seinem Umzug nach G._______, Dhaka oder Gazipur ausgesetzt gewesen sein soll, wenn die gegen ihn gerichteten Nachstellungen lediglich - gemäss seinen Ausführungen auf Beschwerdeebene - mit der lokalen BNP an seinem Wohnort zusammenhängen (vgl. Beschwerdeschrift S. 10). Es erübrigt sich, auf weitere Elemente, welche gegen die Glaubhaftigkeit der Vorbringen der Beschwerdeführenden sprechen, einzugehen. Auch die von den Beschwerdeführenden eingereichten Beweismittel - insbesondere der Zeitungsartikel - vermögen am Gesagten nichts zu ändern. Dem Gericht liegt eine nicht amtliche, englische Übersetzung vor, aus welcher zudem das Datum des Artikels nicht hervorgeht. Darin wird festgehalten, dass sämtliche Familienmitglieder des (...) und des (...) des Beschwerdeführers vertrieben worden, ihr Leben und Eigentum seitens der AL in Gefahr seien und sie keine Gerechtigkeit erfahren würden. Aus diesen vagen Ausführungen lässt sich nichts zu Gunsten der Beschwerdeführenden ableiten.</w:t>
      </w:r>
    </w:p>
    <w:p>
      <w:r>
        <w:rPr>
          <w:b/>
        </w:rPr>
        <w:t>E. 7.2</w:t>
      </w:r>
    </w:p>
    <w:p>
      <w:r>
        <w:t>Zusammenfassend ist es den Beschwerdeführenden nicht gelungen, die Flüchtlingseigenschaft gemäss Art. 3 AsylG nachzuweisen oder zumindest glaubhaft zu machen. Die Vorinstanz hat damit ihre Asylgesuche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nach Art. 83 Abs. 3 AuG nicht 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müssten die Beschwerdeführenden eine konkrete Gefahr ("real risk") nachweisen oder glaubhaft machen, dass ihnen im Fall einer Rückschiebung Folter oder unmenschliche Behandlung drohen würde (vgl. EGMR, Saadi gegen Italien, Urteil vom 28. Februar 2008, Beschwerde Nr. 37201/06, §§ 124-127 m.w.H.). Entgegen der in der Beschwerde vertretenen Ansicht, dem Beschwerdeführer drohe Inhaftierung und Folter, ergeben sich weder aus den Aussagen der Beschwerdeführenden noch aus den Akten konkrete Anhaltspunkte für die Annahme, dass der Beschwerdeführer im Falle einer Rückführung nach Bangladesch mit beachtlicher Wahrscheinlichkeit einer nach Art. 3 EMRK verbotenen Strafe oder Behandlung ausgesetzt wäre. Zwar ist die allgemeine Menschenrechtslage in Bangladesch in verschiedener Hinsicht als problematisch zu bezeichnen (vgl. Human Rights Watch, World Report 2015, 29.01.2015, S. 93 ff.; dies., Democracy in the Crossfire: Opposition Violence and Government Abuses in the 2014 Pre- and Post-Election Period in Bangladesh, 29.04.2014; dies., Blood on the Streets: The Use of Excessive Force During Bangladesh Protests, August 2013 sowie die laufende Berichterstattung der NGO Odhikar, &lt; www.odhikar.org &gt; unter "Reports", zuletzt besucht am 20.02.2018). Es sind jedoch, wie vorstehend dargelegt, keine Indizien dafür vorhanden, dass den Beschwerdeführenden sei es seitens der Regierungskräfte, sei es seitens der Anhänger der AL im Falle der Rückkehr Folter oder unmenschliche Behandlung drohen würde. Somit erweist sich der Vollzug der Wegweisung als zulässig.</w:t>
      </w:r>
    </w:p>
    <w:p>
      <w:r>
        <w:rPr>
          <w:b/>
        </w:rPr>
        <w:t>E. 9.3</w:t>
      </w:r>
    </w:p>
    <w:p>
      <w:r>
        <w:t>Der Vollzug der Wegweisung kann gemäss Art. 83 Abs. 4 AuG unzumutbar sein, wenn die beschwerdeführende Person im Heimat- oder Herkunftsstaat auf Grund von Situationen wie Krieg, Bürgerkrieg, allgemeiner Gewalt und medizinischer Notlage konkret gefährdet ist.</w:t>
      </w:r>
    </w:p>
    <w:p>
      <w:r>
        <w:rPr>
          <w:b/>
        </w:rPr>
        <w:t>E. 9.3.1</w:t>
      </w:r>
    </w:p>
    <w:p>
      <w:r>
        <w:t>Gemäss Rechtsprechung des Bundesverwaltungsgerichts herrscht in Bangladesch keine Situation allgemeiner Gewalt, die sich über das ganze Staatsgebiet oder weite Teile desselben erstrecken würde. Da die Gewalt vor Ort nicht derart flächendeckend und gravierend und die Sicherheitslage nicht konstant so schlecht ist, dass angenommen werden müsste, jede dorthin zurückkehrende Person sei mit erheblicher Wahrscheinlichkeit konkret gefährdet (vgl. BVGE 2014/26 E.7.7.2 m.w.H.), ist der Wegweisungsvollzug nach Bangladesch nicht generell unzumutbar (Urteil des BVGer D-3778/2013 vom 16. Juli 2015 E. 8.4). Die Beschwerdeführenden stammen aus dem Distrikt Faridpur, wo sie, bis wenige Monate vor ihrer Ausreise, auch gelebt haben (vgl. A3 F1.07 und F2.01; A4 F1.07 und F2.01). Sie sind beide jung und gesund (vgl. A3 und A4 jeweils F8.02). Auch die Kinder sind gemäss den Akten gesund (vgl. beispielsweise A3 F8.02). Der Beschwerdeführer absolvierte sieben Schuljahre und eröffnete danach einen eigenen (...) mit (...) Angestellten (vgl. A12 F41 ff.). Seine Eltern und seine Schwester leben in Dhaka (vgl. A12 F18 f.). Sein Vater und sein wohlhabender (...) haben die Reise der Beschwerdeführenden finanziert (vgl. A12 F124). Die Beschwerdeführerin absolvierte neun Schuljahre (vgl. A13 F27). Ihre Eltern und Geschwister leben nach wie vor in Faridpur (vgl. A13 F18 ff.). Aus dem Gesagten folgt, dass die Beschwerdeführenden über ein tragfähiges Beziehungsnetz verfügen. Es kann davon ausgegangen werden, dass sie auf dieses, wie bereits vor ihrer Ausreise, zurückgreifen könnten, sollten sie beim Aufbau ihrer Existenzgrundlage auf Unterstützung angewiesen sein. Somit ist nicht von einer konkreten Gefährdung der Beschwerdeführenden bei einer Rückkehr nach Bangladesch auszugehen.</w:t>
      </w:r>
    </w:p>
    <w:p>
      <w:r>
        <w:rPr>
          <w:b/>
        </w:rPr>
        <w:t>E. 9.3.2</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seiner Beziehungen, Eigenschaften seiner Bezugspersonen (insbesondere Unterstützungsbereitschaft und -fähigkeit), Stand und Prognose bezüglich Entwicklung/Ausbildung, sowie der Grad der erfolgten Integration bei einem längeren Aufenthalt in der Schweiz (vgl. BVGE 2009/51 E. 5.6 m.w.H.). Angesichts der Dauer des Aufenthaltes in der Schweiz von etwas mehr als zwei Jahren ist vorliegend nicht von einer Verwurzelung der beiden Kinder der Beschwerdeführenden in der Schweiz auszugehen, zumal das eine noch sehr jung und das andere (...) alt ist. Eine Gefährdung des Kindeswohls bei einer Rückkehr der Familie ist daher nicht ersichtlich.</w:t>
      </w:r>
    </w:p>
    <w:p>
      <w:r>
        <w:rPr>
          <w:b/>
        </w:rPr>
        <w:t>E. 9.4</w:t>
      </w:r>
    </w:p>
    <w:p>
      <w:r>
        <w:t>Nach dem Gesagten erweist sich der Vollzug der Wegweisung auch als zumutbar.</w:t>
      </w:r>
    </w:p>
    <w:p>
      <w:r>
        <w:rPr>
          <w:b/>
        </w:rPr>
        <w:t>E. 9.5</w:t>
      </w:r>
    </w:p>
    <w:p>
      <w:r>
        <w:t>Schliesslich ist der Vollzug - entgegen der Ansicht der Beschwerdeführenden - auch als möglich im Sinne von Art. 83 Abs. 2 AuG zu bezeichnen. Die Beschwerdeführenden stellen die Möglichkeit des Vollzugs der Wegweisung in Frage, weil es kaum möglich sei, ihrem jüngsten Kind Reisepapiere auszustellen. Weshalb dies auch nach der mittlerweile erfolgten Ausstellung einer Geburtsurkunde zutreffen sollte, substanziieren die Beschwerdeführenden jedoch nicht. Es ist zum einen darauf hinzuweisen, dass der Vollzug im Sinne von Art. 83 Abs. 7 Bst. c AuG nur als unmöglich gilt, wenn die Undurchführbarkeit nicht der betroffenen Person angelastet werden kann. Insbesondere obliegt es den Beschwerdeführenden, bei der Beschaffung gültiger Reisepapiere mitzuwirken (vgl. Art. 8 AsylG). Zum anderen legt sich das Gericht als Beschwerdeinstanz bei der Frage der Möglichkeit des Wegweisungsvollzugs - angesichts der Tatsache, dass die für den Wegweisungsvollzug zuständigen Behörden mit dessen technischen Abwicklung besser vertraut sind - eine gewisse Zurückhaltung auf (vgl. BVGE 2008/34 E. 12 S. 514 m.w.H.). Schliesslich hätten die für den Vollzug zuständigen kantonalen Behörden, für den Fall, dass sich der Vollzug der Wegweisung als unmöglich erweisen würde, beim SEM die Anordnung der vorläufigen Aufnahme zu beantragen (vgl. Art. 46 Abs. 2 AsylG und Art. 83 Abs. 6 AuG). Die durch die Vorinstanz verfügte Wegweisung ist somit zu bestätigen.</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Auf deren Erhebung ist indes angesichts des mit Zwischenverfügung vom 23. Oktober 2017 gutgeheissenen Gesuchs um Gewährung der unentgeltlichen Rechtspflege zu verzichten.</w:t>
      </w:r>
    </w:p>
    <w:p>
      <w:r>
        <w:rPr>
          <w:b/>
        </w:rPr>
        <w:t>E. 12</w:t>
      </w:r>
    </w:p>
    <w:p>
      <w:r>
        <w:t>Amtlichen Rechtsbeiständen ist ein amtliches Honorar für ihre notwendigen Aufwendungen im Beschwerdeverfahren auszurichten. Der mit Zwischenverfügung vom 23. Oktober 2017 eingesetzte amtliche Rechtsbeistand reichte keine Kostennote ein. Folglich setzt das Gericht die Entschädigung auf Grund der Akten fest (vgl. Art. 14 Abs. 2 des Reglements vom 21. Februar 2008 über die Kosten und Entschädigungen vor dem Bundesverwaltungsgericht [VGKE, SR 173.320.2]). Unter Berücksichtigung der massgebenden Bemessungsfaktoren (Art. 9 ff. VGKE) wird das Honorar auf insgesamt Fr. 2'200.- (inklusive Auslagen und Mehrwertsteuer) festgesetzt. Dieses ist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