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E-5380/2007 vom 12. April 2010</w:t>
      </w:r>
    </w:p>
    <w:p>
      <w:r>
        <w:t>Bundesverwaltungsgericht, 2010-04-12, FR</w:t>
      </w:r>
    </w:p>
    <w:p>
      <w:r>
        <w:rPr>
          <w:b/>
        </w:rPr>
        <w:t xml:space="preserve">Quelle: </w:t>
      </w:r>
      <w:r>
        <w:t>https://mcp.opencaselaw.ch/entscheid/bvger_E-5380_2007</w:t>
      </w:r>
    </w:p>
    <w:p>
      <w:r>
        <w:t>FR: TAF E-5380/2007 du 12 avril 2010</w:t>
      </w:r>
    </w:p>
    <w:p>
      <w:r>
        <w:t>IT: TAF E-5380/2007 del 12 aprile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Les recourants ont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les intéressés n'ont établi ni la crédibilité ni la pertinence de leurs motifs.</w:t>
      </w:r>
    </w:p>
    <w:p>
      <w:r>
        <w:rPr>
          <w:b/>
        </w:rPr>
        <w:t>E. 3.2</w:t>
      </w:r>
    </w:p>
    <w:p>
      <w:r>
        <w:t>Les recourants ont essentiellement fait valoir des risques de persécution encourus en Italie. Or, selon la définition du terme "réfugié" donnée à l'art. 3 al. 1 LAsi, ont cette qualité les étrangers qui sont persécutés dans leur pays d'origine ou (s'agissant des apatrides) dans le pays de leur dernière résidence. En conséquence, et comme le retiennent la doctrine et la jurisprudence interprétant cette notion à la lumière de l'art. 1 let. A ch. 2 de la convention du 28 juillet 1951 relative au statut des réfugiés (conv. réfugiés, RS 0.142.30), le requérant doit donc avoir en principe la nationalité du pays dont il a subi ou craint à juste titre de subir une persécution (cf. Guide HCR, janvier 1992, p. 22 et 24ss). Une protection internationale ne s'entend donc que vis-à-vis de l'Etat national, et de nul autre. En conséquence, dans le cas où les intéressés seraient réellement menacés en cas de retour dans un Etat tiers, la Suisse ne pourrait que s'abstenir de les y renvoyer, dans la mesure où une telle attitude contreviendrait au principe du non-refoulement, auquel les parties à la convention de 1951 sont tenues (cf. art. 33 conv. et 5 LAsi). Dans le cas d'espèce, les recourants, ressortissants marocains, ne peuvent donc valablement invoquer qu'un risque sérieux de persécution existant dans leur pays d'origine. Or ils n'ont en rien rendu vraisemblable l'existence d'un tel risque. Aucun d'entre eux n'a jamais entretenu au Maroc une quelconque activité politique ou oppositionnelle, et il n'y a aucune raison que les autorités marocaines soient informées de leurs éventuelles relations avec les services de renseignement italiens ou américains, si tant est d'ailleurs que ces relations les exposent à un danger quelconque dans leur Etat d'origine. L'assertion du recourant, selon laquelle la police marocaine aurait interrogé son père à son sujet, n'est pas étayée ; de plus, quand bien même cet interrogatoire aurait eu lieu, aucun indice ne permet d'admettre qu'il ait découlé des activités de l'intéressé en Italie, ni qu'il puisse être interprété comme constituant une menace objective contre le recourant.</w:t>
      </w:r>
    </w:p>
    <w:p>
      <w:r>
        <w:rPr>
          <w:b/>
        </w:rPr>
        <w:t>E. 3.3</w:t>
      </w:r>
    </w:p>
    <w:p>
      <w:r>
        <w:t>Le Tribunal constate tout de même que les dires du recourant au sujet de son travail, en Italie, pour divers services de renseignement ne sont pas crédibles. Il est ainsi impossible de déterminer s'il a cessé ses relations avec le Parti de la Libération en 2004, ou s'il les a poursuivies jusqu'en 2006, son récit à ce sujet étant confus (cf. audition du 16 mai 2007, questions 51, 70 et 106-115) ; l'intéressé n'a d'ailleurs pas décrit avec un minimum de précision le type de renseignements qu'il aurait pu fournir à ses commanditaires. Il n'est par ailleurs aucunement crédible qu'il ait pu infiltrer un parti clandestin kurde sans appartenir à cette communauté, les membres d'un tel groupe, surveillé par la police, devant logiquement appliquer d'extrêmes précautions au recrutement de nouveau adhérents. La manière dont l'intéressé aurait été recruté par les services de sécurité américains, le jour suivant son offre de service, une prime d'engagement lui étant aussitôt remise, n'est pas non plus convaincante ; en effet, il paraît exclu que les recruteurs n'aient pas jugé nécessaire, avant tout, de prendre des renseignements à son sujet. Par ailleurs, l'épisode rocambolesque de la tentative d'enlèvement dirigée contre le recourant n'est, lui aussi, guère vraisemblable ; il est peu crédible que l'intéressé ait pu échapper à des professionnels, simplement parce que son véhicule était verrouillé. La raison de cette agression n'est d'ailleurs, pas claire puisque, selon le recourant, ses deux employeurs se seraient mis d'accord à son sujet (cf. audition du 16 mai 2007, questions 177-179). Enfin, le Tribunal ne peut qu'accorder un poids particulier à l'opinion de l'OFP, qui a jugé le recourant dépourvu de crédibilité ; invité à s'exprimer à ce sujet, l'intéressé n'a pas opposé d'arguments valables, et sa plainte contre l'OFP a d'ailleurs été classée sans suites.</w:t>
      </w:r>
    </w:p>
    <w:p>
      <w:r>
        <w:rPr>
          <w:b/>
        </w:rPr>
        <w:t>E. 3.4</w:t>
      </w:r>
    </w:p>
    <w:p>
      <w:r>
        <w:t>Les intéressés n'ont ainsi établi ni la pertinence ni la vraisemblance de faits justifiant leur crainte de persécution. Il s'ensuit que le recours, en tant qu'il conteste le refus de l'asile et le refus de la reconnaissance de la qualité de réfugié,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6.5</w:t>
      </w:r>
    </w:p>
    <w:p>
      <w:r>
        <w:t>En l'occurrence, le Tribunal relève que les intéressés, comme déjà retenu, n'ont pas rendu vraisemblable l'existence de tels risques en cas de retour au Maroc. 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JICRA 1998 n° 22 p. 191).</w:t>
      </w:r>
    </w:p>
    <w:p>
      <w:r>
        <w:rPr>
          <w:b/>
        </w:rPr>
        <w:t>E. 7.2</w:t>
      </w:r>
    </w:p>
    <w:p>
      <w:r>
        <w:t>Il est notoire que le Maroc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des recourants. A cet égard, le Tribunal relève qu'ils sont jeunes, le mari étant au bénéfice d'une expérience professionnelle. De plus, il ressort des renseignements communiqués au Tribunal qu'aucun des époux ne souffre plus d'aucun trouble de santé. S'agissant de leur enfant, il convient de rappeler que l'exécution du renvoi d'une personne en traitement médical ne devient inexigible que dans la mesure où, après son retour, elle pourrait ne plus recevoir les soins essentiels garantissant des conditions minimales d'existence, au point que sa vie ou son intégrité physique ou psychique serait rapidement mise en danger de manière hautement probable (cf. JICRA 2003 n° 24 consid. 5b p. 157s. ; JICRA 1993 n° 38 p. 274s.). Dans le cas présent, cette enfant souffre de troubles découlant essentiellement de l'instabilité de ses conditions de vie ; en conséquence, un retour au Maroc avec ses parents, dans leur cadre culturel d'origine, et où réside toute la famille du mari, sera donc de nature, après un temps de réadaptation, à permette une amélioration de son état.</w:t>
      </w:r>
    </w:p>
    <w:p>
      <w:r>
        <w:rPr>
          <w:b/>
        </w:rPr>
        <w:t>E. 7.4</w:t>
      </w:r>
    </w:p>
    <w:p>
      <w:r>
        <w:t>Pour ces motifs, l'exécution du renvoi doit être considérée comme raisonnablement exigible.</w:t>
      </w:r>
    </w:p>
    <w:p>
      <w:r>
        <w:rPr>
          <w:b/>
        </w:rPr>
        <w:t>E. 8</w:t>
      </w:r>
    </w:p>
    <w:p>
      <w:r>
        <w:t>Enfin, les recourants sont en possession de passeports dont il leur suffira d'obtenir la prolongation de validité auprès de la représentation diplomatique marocaine. L'exécution du renvoi ne se heurte donc pas à des obstacles insurmontables d'ordre technique et s'avère également possible au sens de l'art. 83 al. 2 LEtr.</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