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E-5367/2010 vom 23. August 2010</w:t>
      </w:r>
    </w:p>
    <w:p>
      <w:r>
        <w:t>Bundesverwaltungsgericht, 2010-08-23, DE</w:t>
      </w:r>
    </w:p>
    <w:p>
      <w:r>
        <w:rPr>
          <w:b/>
        </w:rPr>
        <w:t xml:space="preserve">Quelle: </w:t>
      </w:r>
      <w:r>
        <w:t>https://mcp.opencaselaw.ch/entscheid/bvger_E-5367_2010</w:t>
      </w:r>
    </w:p>
    <w:p>
      <w:r>
        <w:t>FR: TAF E-5367/2010 du 23 août 2010</w:t>
      </w:r>
    </w:p>
    <w:p>
      <w:r>
        <w:t>IT: TAF E-5367/2010 del 23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und Art. 105 AsylG i.V.m. Art. 37 VGG und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 solches Rechtsmittel, weshalb der Beschwerdeentscheid nur summarisch zu begründen ist (Art. 111a Abs. 2 AsylG). Gestützt auf Art. 111a Abs. 1 AsylG wurde auf die Durchführung eines Schriftenwechsels verzichtet.</w:t>
      </w:r>
    </w:p>
    <w:p>
      <w:r>
        <w:rPr>
          <w:b/>
        </w:rPr>
        <w:t>E. 3.1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die Gelegenheit zu geben, sich zu einem abzusehenden negativen Entscheid zumindest schriftlich zu äussern (vgl. a.a.O. E. 5.7). Schliesslich ist das Bundesamt in jedem Fall gehalten, das Absehen von einer Befragung in der Verfügung über das Asylgesuch zu begründen.</w:t>
      </w:r>
    </w:p>
    <w:p>
      <w:r>
        <w:rPr>
          <w:b/>
        </w:rPr>
        <w:t>E. 3.2</w:t>
      </w:r>
    </w:p>
    <w:p>
      <w:r>
        <w:t>Der Beschwerdeführer wurde im vorliegenden Verfahren nicht befragt; die Vorinstanz hat diesen Verzicht in ihrer Zwischenverfügung vom 8. März 2010 begründet, mit welcher dem Beschwerdeführer das rechtliche Gehör zu einem allfälligen negativen Entscheid gewährt wurde. Dieses nahm er mit Stellungnahme vom 19. April 2010 wahr. Dabei wiederholte er im Wesentlichen das zur persönlichen und allgemeinen Situation in seiner Heimatregion bereits Gesagte, weshalb sich seitens des BFM keine weiteren Abklärungen zur Erstellung des entscheidwesentlichen Sachverhalts aufdrängten. In diesem Sinn erfolgte das Vorgehen der Vorinstanz in korrekter Weise - etwas Anderes wird auch vom Beschwerdeführer nicht behauptet.</w:t>
      </w:r>
    </w:p>
    <w:p>
      <w:r>
        <w:rPr>
          <w:b/>
        </w:rPr>
        <w:t>E. 4</w:t>
      </w:r>
    </w:p>
    <w:p>
      <w:r>
        <w:t>Im Folgenden ist zu prüfen, ob das Bundesamt das Asylgesuch in materieller Hinsicht zu Recht abgewiesen und dem Beschwerdeführer die Einreise in die Schweiz verweigert hat.</w:t>
      </w:r>
    </w:p>
    <w:p>
      <w:r>
        <w:rPr>
          <w:b/>
        </w:rPr>
        <w:t>E. 4.1</w:t>
      </w:r>
    </w:p>
    <w:p>
      <w:r>
        <w:t>Das BFM kann ein im Ausland gestelltes Gesuch ablehnen, wenn die asylsuchende Person keine Verfolgung glaubhaft machen kann oder ihr die Aufnahme in einem Drittstaat zugemutet werden kann (vgl. Art. 3, Art. 7 und Art. 52 Abs. 2 AsylG). Gemäss Art. 20 Abs. 2 AsylG bewilligt das BFM Asylsuchenden die Einreise zur Abklärung des Sachverhalts,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Personen (vgl. EMARK 1997 Nr. 15 E. 2c S. 130), mithin die Prüfung der Fragen, ob eine Gefährdung im Sinn von Art. 3 AsylG glaubhaft gemacht wird und ob der Verbleib am Aufenthaltsort für die Dauer der Sachverhaltsabklärung zugemutet werden kann.</w:t>
      </w:r>
    </w:p>
    <w:p>
      <w:r>
        <w:rPr>
          <w:b/>
        </w:rPr>
        <w:t>E. 4.3</w:t>
      </w:r>
    </w:p>
    <w:p>
      <w:r>
        <w:t>Die Vorinstanz hat in ihrer Verfügung zu Recht darauf hingewiesen, dass sich der Beschwerdeführer den Bedrohungen durch die Paramilitärs in seiner Heimatregion B._______ durch wiederholte Wohnortwechsel habe entziehen können und sich auch (...) Monate in Bogotá aufgehalten habe. Zudem sei er freiwillig nach B._______ zurückgekehrt, was nicht für eine akute Gefährdung spreche. In der Beschwerde wird eingewendet, der Beschwerdeführer halte sich jeweils nur wenige Tage in B._______ auf, unternehme zudem zahlreiche Reisen in die unterschiedlichen Regionen seines Heimatlandes. Dazu ist einerseits festzuhalten, dass der Beschwerdeführer gerade aufgrund seiner Reisetätigkeiten und den damit zwangsläufig verbundenen sozialen Kontakten im Bedarfsfall leichter eine innerstaatliche Ausweichmöglichkeit finden dürfte; andererseits könnte er beispielsweise in Bogotá festen Wohnsitz nehmen, wo er sich bereits früher eine gewisse Zeit lang aufgehalten hat.</w:t>
      </w:r>
    </w:p>
    <w:p>
      <w:r>
        <w:rPr>
          <w:b/>
        </w:rPr>
        <w:t>E. 4.4</w:t>
      </w:r>
    </w:p>
    <w:p>
      <w:r>
        <w:t>Abgesehen davon hat das BFM auch zutreffend festgestellt, dass es dem Beschwerdeführer zuzumuten ist, in einem anderen Land um Asylgewährung nachzusuchen (vgl. Art. 52 Abs. 2 AsylG). So sind beispielsweise die Nachbarstaaten Brasilien, Ecuador, Panama und Peru Vertragsparteien sowohl des Abkommens über die Rechtsstellung der Flüchtlinge vom 28. Juli 1951 (FK, SR 0.142.30) als auch des betreffenden Zusatzprotokolls vom 31. Januar 1967; Venezuela hat zwar das Abkommen selbst nicht ratifiziert, wohl aber das Protokoll. Diese Länder verfügen - mit Ausnahme Venezuelas -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insbesondere denjenigen zu Panama und Venezuela,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ersuchen und dort zu einem beträchtlichen Teil auch als Flüchtlinge anerkannt werden. Insgesamt ergeben sich keine Anhaltspunkte, die darauf schliessen liessen, es sei dem Beschwerdeführer praktisch unmöglich oder objektiv unzumutbar, sich in einen anderen Staat, insbesondere in einen der Nachbarstaaten Kolumbiens, zu begeben (vgl. EMARK 2004 Nr. 20 sowie 1997 Nr. 15 E. 2 f. S. 132; vgl. etwa auch die Urteile des Bundesverwaltungsgerichts vom 6. August 2010 [D-5372/2010] und vom 15. Juni 2010 [E-4009/2010]). Dies umso weniger, als aus den Akten ersichtlich ist, dass es sich beim Beschwerdeführer nicht um eine landesweit bekannte Persönlichkeit handelt, der aufgrund seiner besonders exponierten Stellung auch bei einer Flucht ins nahe Ausland allenfalls befürchten müsste, weiterhin verfolgt zu werden. An dieser Feststellung vermag der Einwand in der Beschwerde nichts zu ändern, wonach er an Wahlen als Kandidat teilgenommen habe, was seinen Bekanntheitsgrad erhöht habe; im Übrigen liesse sich dieses neue Vorbringen auch als Indiz für einen nicht sehr grossen Verfolgungsdruck interpretieren.</w:t>
      </w:r>
    </w:p>
    <w:p>
      <w:r>
        <w:rPr>
          <w:b/>
        </w:rPr>
        <w:t>E. 4.5</w:t>
      </w:r>
    </w:p>
    <w:p>
      <w:r>
        <w:t>Nach dem Gesagten erweist sich eine Schutzgewährung seitens der Schweizer Behörden nicht als erforderlich. Hinzu kommt, dass der Beschwerdeführer in seinem Asylgesuch keine besonders nahen Beziehungen zur Schweiz geltend gemacht hat.</w:t>
      </w:r>
    </w:p>
    <w:p>
      <w:r>
        <w:rPr>
          <w:b/>
        </w:rPr>
        <w:t>E. 4.6</w:t>
      </w:r>
    </w:p>
    <w:p>
      <w:r>
        <w:t>Unter diesen Umständen hat die Vorinstanz zu Recht die Erteilung der Einreisebewilligung verweigert und das Asylgesuch des Beschwerdeführers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grundsätzlich dem Beschwerdeführer aufzuerlegen (Art. 63 Abs. 1 VwVG). Aus verwaltungsökonomischen Gründen ist in Anwendung von Art. 63 Abs. 1 in fine AsylG und Art. 2 und 3 des Reglements vom 21. Februar 2008 über die Kosten und Entschädigungen vor dem Bundesverwaltungsgericht (VGKE, SR 173.320.2)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