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E-5365/2013 vom 30. September 2013</w:t>
      </w:r>
    </w:p>
    <w:p>
      <w:r>
        <w:t>Bundesverwaltungsgericht, 2013-09-30, DE</w:t>
      </w:r>
    </w:p>
    <w:p>
      <w:r>
        <w:rPr>
          <w:b/>
        </w:rPr>
        <w:t xml:space="preserve">Quelle: </w:t>
      </w:r>
      <w:r>
        <w:t>https://mcp.opencaselaw.ch/entscheid/bvger_E-5365_2013</w:t>
      </w:r>
    </w:p>
    <w:p>
      <w:r>
        <w:t>FR: TAF E-5365/2013 du 30 septembre 2013</w:t>
      </w:r>
    </w:p>
    <w:p>
      <w:r>
        <w:t>IT: TAF E-5365/2013 del 30 settembre 2013</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und)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die Vorinstanz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w:t>
      </w:r>
    </w:p>
    <w:p>
      <w:r>
        <w:t>Die Beschwerde erweist sich als offensichtlich unbegründet und ist im Verfahren einzelrichterlicher Zuständigkeit mit Zustimmung eines zweiten Richters (Art. 111 Bst. e AsylG) ohne Weiterungen zu behandeln (Art. 111a Abs. 1 AsylG).</w:t>
      </w:r>
    </w:p>
    <w:p>
      <w:r>
        <w:rPr>
          <w:b/>
        </w:rPr>
        <w:t>E. 4</w:t>
      </w:r>
    </w:p>
    <w:p>
      <w:r>
        <w:t>Dem Antrag, das Dossier des Beschwerdeführers sei zusammen mit demjenigen des Sohnes und dessen Familie zu behandeln, wird insoweit entsprochen, als die Urteile zeitgleich ergehen.</w:t>
      </w:r>
    </w:p>
    <w:p>
      <w:r>
        <w:rPr>
          <w:b/>
        </w:rPr>
        <w:t>E. 5.1</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5.2</w:t>
      </w:r>
    </w:p>
    <w:p>
      <w:r>
        <w:t>Bei der Prüfung, ob Hinweise auf eine Verfolgung im Sinne von Art. 32 Abs. 2 Bst. e AsylG vorliegen, welche geeignet sind, die Flüchtlingseigenschaft zu begründen, ist praxisgemäss vom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(vgl. BVGE 2009/53 E. 4.2 S. 769, BVGE 2008/57 E. 3.2 S. 780).</w:t>
      </w:r>
    </w:p>
    <w:p>
      <w:r>
        <w:rPr>
          <w:b/>
        </w:rPr>
        <w:t>E. 6.1</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Der Beschwerdeführer habe sich in wesentlichen Punkten seiner Asylbegründung widersprüchlich geäussert. Namentlich habe er unvereinbare Aussagen zum Zeitpunkt und zum Ort des Überfalls gemacht. Zudem seien die Angaben zu den Tätern und dem Tathergang vage und ohne jeglichen persönlichen Bezug. Die Vorbringen zur unverzüglichen Flucht seien sodann realitätsfremd, namentlich sei nicht nachvollziehbar, weshalb der Beschwerdeführer sich nicht an die heimatlichen Behörden gewendet habe, seien diese doch gemäss den Angaben im ersten Asylverfahren durchaus gewillt und in der Lage, Schutz vor Übergriffen zu gewähren.</w:t>
      </w:r>
    </w:p>
    <w:p>
      <w:r>
        <w:rPr>
          <w:b/>
        </w:rPr>
        <w:t>E. 6.2</w:t>
      </w:r>
    </w:p>
    <w:p>
      <w:r>
        <w:t>In der Eingabe wird geltend gemacht, die Vorinstanz sei zu Unrecht auf das Asylgesuch nicht eingetreten. Die Aussagen des Beschwerdeführers seien glaubhaft. Der vorinstanzliche Schluss ist nicht zu beanstanden. In der angefochtenen Verfügung wird im Einzelnen dargelegt, aus welchen Gründen die Aussagen des Beschwerdeführers unvereinbar, vage, realitätsfremd und ohne persönlichen Bezug sind. Was in der Rechtsmitteleingabe dagegen vorgebracht wird, ist nicht geeignet, die Vorbringen des Beschwerdeführers in einem anderen Licht erscheinen zu lassen und damit zu einem anderen Schluss zu gelangen. Mit dem blossen Hinweis, es sei nicht auszuschliessen, dass es um 18 Uhr im Haus bereits dunkel gewesen sei, vermag der Beschwerdeführer nicht darzutun, weshalb er anlässlich der Befragung keine Uhrzeit mehr nennen konnte. Damit legt er auch nicht substantiiert dar, aus welchen Gründen es an einem Sommerabend um diese Zeit draussen bereits dunkel gewesen sein soll, so dass im Haus die Lichter hätten angezündet werden müssen. Auch der weitere, nicht näher substantiierte Hinweis auf die engen räumlichen Verhältnisse im Haus des Beschwerdeführers ist nicht geeignet, die Unstimmigkeiten in Bezug auf den Ort des Überfalles aufzulösen. Zudem dürften in Anbetracht dessen, dass es sich bei diesem Überfall um ein einschneidendes Ereignis handelt, welches den Beschwerdeführer zum Verlassen des Heimatlandes veranlasste, übereinstimmende Aussagen erwartet werden. Soweit der Beschwerdeführer sodann vorbringt, der serbische Staat sei nicht willens, den nötigen Schutz zu gewähren, vermag er daraus im Hinblick auf die Glaubhaftigkeit seiner Vorbringen nichts für sich abzuleiten. Schliesslich legt er mit dem Wiederholen seiner Aussagen nicht dar, inwiefern die Vorinstanz zu Unrecht auf sein Gesuch nicht eingetreten ist. Die Vorinstanz ist demnach auf das Asylgesuch zu Recht nicht eingetreten.</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Nach Art. 83 Abs. 3 AuG ist der Vollzug nicht zulässig, wenn völkerrechtliche Verpflichtungen der Schweiz einer Weiterreise des Ausländers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Weder aus den Aussage des Beschwerdeführers noch den Akten ergeben sich konkrete Anhaltspunkte dafür, dass er für den Fall einer Ausschaffung nach Serbien dort mit beachtlicher Wahrscheinlichkeit einer nach Art. 3 EMRK oder Art. 1 FoK verbotenen Strafe oder Behandlung ausgesetzt wäre. Der Vollzug der Wegweisung ist somit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(vgl. ausführlich BVGE 2009/28 E. 9.3.1). Der Beschwerdeführer äussert sich in der Rechtsmitteleingabe nicht dazu, inwiefern für ihn der Vollzug der Wegweisung nicht zumutbar ist. Um Wiederholungen zu vermeiden, kann daher auf die Erwägungen in der angefochtenen Verfügung verwiesen werden.</w:t>
      </w:r>
    </w:p>
    <w:p>
      <w:r>
        <w:rPr>
          <w:b/>
        </w:rPr>
        <w:t>E. 8.4</w:t>
      </w:r>
    </w:p>
    <w:p>
      <w:r>
        <w:t>Der Beschwerdeführer verfügt über bis ins Jahr (...) gültigen Reisepass, weshalb der Vollzug der Wegweisung im Sinne von Art. 83 Abs. 2 AuG möglich ist.</w:t>
      </w:r>
    </w:p>
    <w:p>
      <w:r>
        <w:rPr>
          <w:b/>
        </w:rPr>
        <w:t>E. 8.5</w:t>
      </w:r>
    </w:p>
    <w:p>
      <w:r>
        <w:t>Zusammenfassend hat die Vorinstanz den Wegweisungsvollzug zu Recht als zulässig, zumutbar und möglich erachtet. Die Anordnung der vorläufigen Aufnahme fällt damit ausser Betracht (Art. 83 Abs. 1 - 4 AuG).</w:t>
      </w:r>
    </w:p>
    <w:p>
      <w:r>
        <w:rPr>
          <w:b/>
        </w:rPr>
        <w:t>E. 9</w:t>
      </w:r>
    </w:p>
    <w:p>
      <w:r>
        <w:t>Aus den vorstehenden Erwägungen ergibt sich, dass die angefochtene Verfügung Bundesrecht nicht verletzt und auch sonst nicht zu beanstanden ist (Art. 106 Abs. 1 AsylG). Die Beschwerde ist abzuweisen.</w:t>
      </w:r>
    </w:p>
    <w:p>
      <w:r>
        <w:rPr>
          <w:b/>
        </w:rPr>
        <w:t>E. 10.1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zur Gewährung der unentgeltlichen Prozessführung nicht gegeben, weshalb dem Gesuch nicht stattzugeben ist.</w:t>
      </w:r>
    </w:p>
    <w:p>
      <w:r>
        <w:rPr>
          <w:b/>
        </w:rPr>
        <w:t>E. 10.2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