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E-5362/2011 vom 9. August 2012</w:t>
      </w:r>
    </w:p>
    <w:p>
      <w:r>
        <w:t>Bundesverwaltungsgericht, 2012-08-09, DE</w:t>
      </w:r>
    </w:p>
    <w:p>
      <w:r>
        <w:rPr>
          <w:b/>
        </w:rPr>
        <w:t xml:space="preserve">Quelle: </w:t>
      </w:r>
      <w:r>
        <w:t>https://mcp.opencaselaw.ch/entscheid/bvger_E-5362_2011</w:t>
      </w:r>
    </w:p>
    <w:p>
      <w:r>
        <w:t>FR: TAF E-5362/2011 du 9 août 2012</w:t>
      </w:r>
    </w:p>
    <w:p>
      <w:r>
        <w:t>IT: TAF E-5362/2011 del 9 agosto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form- und fristgerecht eingereicht. Der Beschwer­deführer ist durch die angefochtenen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sowie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Die vorläufige Aufnahme ist eine Ersatzmassnahme für den nicht durchführbaren Vollzug der Wegweisung. Gemäss Art. 83 Abs. 1 AuG ist die vorläufige Aufnahme zu verfügen, wenn der Vollzug der Wegweisung nicht zulässig, nicht zumutbar oder nicht möglich ist.</w:t>
      </w:r>
    </w:p>
    <w:p>
      <w:r>
        <w:rPr>
          <w:b/>
        </w:rPr>
        <w:t>E. 3.1</w:t>
      </w:r>
    </w:p>
    <w:p>
      <w:r>
        <w:t>Gemäss Art. 84 Abs. 1 AuG überprüft das BFM periodisch, ob die Voraussetzungen für die vorläufige Aufnahme noch gegeben sind. Sind die Voraussetzungen nicht mehr gegeben,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in den Herkunftsstaat oder in einen Drittstaat zu begeben (Art. 83 Abs. 2 - 4 AuG).</w:t>
      </w:r>
    </w:p>
    <w:p>
      <w:r>
        <w:rPr>
          <w:b/>
        </w:rPr>
        <w:t>E. 3.2</w:t>
      </w:r>
    </w:p>
    <w:p>
      <w:r>
        <w:t>Mit Verfügung vom 4. März 2010 stellte das BFM rechtskräftig fest, dass der Beschwerdeführer die Flüchtlingseigenschaft nicht erfülle. Daher findet das in Art. 33 Abs. 1 des Abkommens vom 28. Juli 1951 über die Rechtsstellung der Flüchtlinge (FK, SR 0.142.30) und Art. 5 des Asylgesetzes vom 26. Juni 1998 (AsylG, SR 142.31) verankerte flüchtlingsrechtliche Refoulementverbot im vorliegenden Verfahren keine Anwendung.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Gemäss Rechtsprechung des Europäischen Gerichtshofes für Menschenrechte (EGMR) muss aufgrund der Gefahr einer Kettenabschiebung in Verletzung des Refoulement-Verbotes dann von der Abschiebung einer Person in einen Drittstaat abgesehen werden, wenn gewichtige Gründe dafür vorliegen, dass eine tatsächliche Gefahr ("real risk") einer Verletzung von Art. 3 EMRK besteht (EGMR, Saadi gegen Italien, Urteil vom 28. Februar 2008, Beschwerde-Nr. 37201/06, § 125). In diesen Fällen ist der Vollzug der Wegweisung unzulässig. Der Beschwerdeführer konkretisiert in der Beschwerdeschrift nicht, inwiefern gerade er gefährdet sei, bei einer Rückkehr in sein Heimatland gefoltert oder unmenschlich behandelt zu werden. Der Umstand, dass seine Schwester vor mehreren Jahren als LTTE-Kämpferin gestorben ist und sein Bruder seinen Heimatort aufgrund seines Engagements für die LTTE verlassen hat, vermögen vor allem insofern keine Gefahr für den Beschwerdeführer zu belegen, als dieser nicht geltend macht, seinerseits vor seiner Ausreise aus Sri Lanka für die LTTE aktiv gewesen zu sein. Daran vermögen auch die beiden eingereichten Schreiben der "Human Rights Organization of Justice of Peace" nichts zu ändern. Diese legen für den heutigen Zeitpunkt keine Gefährdung des Beschwerdeführers nahe: Die Erklärung von D._______, einem Bruder des Beschwerdeführers, dass der Bruder C._______ von Leuten der EPDP im Jahr 2008 entführt und die Familie ein Lösegeld für seine Freilassung habe bezahlen müssen, und dass verschiedene Familienmitglieder in den Jahren 2009 bis 2011 ins Visier der EDPD geraten und von dieser Organisation erpresst worden seien, sowie das Schreiben der genannten Menschenrechtsorganisation, mit welchem der Erhalt der Erklärung von D._______ bestätigt und mitgeteilt wird, dass die Organisation nicht helfen könne, vermögen keine aktuelle Gefährdung des Beschwerdeführers glaubhaft zu machen. Wohl findet sich die Geltendmachung der Entführung im April 2008 und der Lösegeldzahlung auch im vom Gericht beigezogenen Dossier des Bruders C._______ (N [...]). Und dass die EPDP nach dem Krieg bis zum heutigen Zeitpunkt immer wieder sowohl in politische wie auch in rein pekuniär motivierte kriminelle Aktivitäten involviert sein dürfte, wird von unabhängigen Beobachtern bestätigt (vgl. u.a. International Crisis Group, Sri Lanka's North I: The Denial of Minority Rights, Asia Report No 219, 16. März 2012, S. 12 f.). Dennoch kann unter dem Aspekt der Zulässigkeit nicht von einer ernsthaften Gefahr ("real risk") der Folter oder der unmenschlichen beziehungsweise erniedrigenden Behandlung gesprochen werden, zumal die Sicherheitskräfte und die EPDP gegenüber dem Beschwerdeführer keine LTTE-Kontakte als Grund oder Vorwand für Nachstellungen vorbringen können, da dieser eigenen Angaben zufolge seit 2003 keine Beziehungen zu den LTTE unterhalten hat und auch vor diesem Zeitpunkt nur einmal an einem Märtyrerfest an seiner Schule teilgenommen hatte (A6 S. 4). Auch die blosse Teilnahme an einer 1. Mai-Demonstration in der Schweiz und an einer Demonstration vor dem UNO-Gebäude in Genf vermögen keine Gefährdung des Beschwerdeführers zu begründen. Schliesslich leben nach den Angaben des Beschwerdeführers seine Eltern, ein älterer Bruder und eine jüngere Schwester immer noch in seinem Heimatort, weshalb nicht von einer die ganze Familie betreffende Verfolgung durch die Sicherheitskräfte oder die EPDP auszugehen ist. Insgesamt ist keine erhebliche Gefahr erkennbar, wonach ihm bei einer Rückkehr nach Sri Lanka Eingriffe i.S. von Art. 3 EMRK drohen. Der Wegweisungsvollzug erweist sich damit als zulässig.</w:t>
      </w:r>
    </w:p>
    <w:p>
      <w:r>
        <w:rPr>
          <w:b/>
        </w:rPr>
        <w:t>E. 3.3</w:t>
      </w:r>
    </w:p>
    <w:p>
      <w:r>
        <w:t>Nach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auf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(BVGE 2009/52 E. 10.1, BVGE 2009/51 E. 5.5). 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2011/24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(BVGE 2011/24 E. 13). Der Beschwerdeführer stammt aus B._______, das zum District Jaffna in der Nordprovinz gehört und damit ausserhalb des Vanni-Gebietes liegt. Er verbrachte sein ganzes Leben dort, und seine Eltern und einige seiner Geschwister wohnen heute noch dort. Auch wenn dem Bericht des Bruders D._______ vom Januar 2011 Glauben geschenkt wird, zeigt sich doch, dass es der Familie mit Ausnahme der Entführung im Jahr 2008 stets gelungen ist, den Belästigungen und Forderungen der EPDP in einer Weise zu begegnen, die ein einigermassen normales Leben ermöglichte. Der Beschwerdeführer hat zwölf Jahre die Schule besucht und anschliessend bis zu seiner Ausreise 2009 sieben Jahre als (...) gearbeitet. Auch in der Schweiz konnte er sich erfolgreich auf dem Arbeitsmarkt integrieren. Schliesslich macht er keine gesundheitlichen Beschwerden geltend. Damit ist der Wegweisungsvollzug zumutbar.</w:t>
      </w:r>
    </w:p>
    <w:p>
      <w:r>
        <w:rPr>
          <w:b/>
        </w:rPr>
        <w:t>E. 3.4</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3.5</w:t>
      </w:r>
    </w:p>
    <w:p>
      <w:r>
        <w:t>Zusammenfassend hat die Vorinstanz den Wegweisungsvollzug zu Recht als zulässig, zumutbar und möglich erachtet und die vorläufigen Aufnahme aufgehoben.</w:t>
      </w:r>
    </w:p>
    <w:p>
      <w:r>
        <w:rPr>
          <w:b/>
        </w:rPr>
        <w:t>E. 4</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5</w:t>
      </w:r>
    </w:p>
    <w:p>
      <w:r>
        <w:t>Bei diesem Ausgang des Verfahrens sind die Kosten in der Höhe von insgesamt Fr. 600.- dem Beschwerdeführer aufzuerlegen und mit dem geleisteten Kostenvorschuss von Fr. 600.- zu verrechnen (Art. 63 Abs. 1 und 5 VwVG i.V.m.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