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E-5360/2018 vom 5. November 2019</w:t>
      </w:r>
    </w:p>
    <w:p>
      <w:r>
        <w:t>Bundesverwaltungsgericht, 2019-11-05, DE</w:t>
      </w:r>
    </w:p>
    <w:p>
      <w:r>
        <w:rPr>
          <w:b/>
        </w:rPr>
        <w:t xml:space="preserve">Quelle: </w:t>
      </w:r>
      <w:r>
        <w:t>https://mcp.opencaselaw.ch/entscheid/bvger_E-5360_2018</w:t>
      </w:r>
    </w:p>
    <w:p>
      <w:r>
        <w:t>FR: TAF E-5360/2018 du 5 novembre 2019</w:t>
      </w:r>
    </w:p>
    <w:p>
      <w:r>
        <w:t>IT: TAF E-5360/2018 del 5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ihrer Verfügung stellte die Vorinstanz sich auf den Standpunkt, es sei dem Beschwerdeführer nicht gelungen, seine Fluchtgründe glaubhaft zu machen. Seine Ausführungen seien vage, widersprüchlich und unlogisch ausgefallen. Sie würden markante Realkennzeichen vermissen lassen und seien nicht plausibel. Den ersten Vorfall vom 12. August 2015 habe der Beschwerdeführer zwar ausführlich geschildert, habe aber erst auf Nachfrage hin vorgebracht, dass die Angreifer ihm eine Strafanzeige oder das Erwähnen dieses Ereignisses im Wahlkampf untersagt hätten. Seine Erklärung für das nachträgliche Schildern dieses Sachverhaltselements vermöge nicht zu überzeugen. Irritierend sei zudem, dass er gemäss seiner Darstellung den Vorfall über Nacht vergessen und am nächsten Tag erneut Propaganda gemacht habe. Die Darlegungen des Beschwerdeführers zum Übergriff vom 13. August 2015 würden seine persönliche Rolle vermissen lassen; er habe fast ausschliesslich darüber berichtet, was seine Eltern gemacht hätten. Seine Darstellung sei wirr und erlaube es nicht, sich ein klares Bild zu machen. Er habe widersprüchliche Angaben zur Anzahl der Angreifer gemacht sowie zur Reihenfolge in welcher er und die anderen Familienmitglieder zum Geschehen hinzugestossen seien. Er habe diese Ungereimtheiten nicht überzeugend erklären können. Es sei zu bezweifeln, dass dieser Vorfall stattgefunden habe; die Antworten des Beschwerdeführers seien weder überzeugend noch plausibel oder aufschlussreich, und es wäre zu erwarten gewesen, dass er in der Lage wäre, detaillierter und mit mehr Realkennzeichen von einem solchen Ereignis zu berichten. Im Weiteren habe der Beschwerdeführer nicht glaubhaft machen können, dass er aufgrund seines politischen Engagements ins Visier anderer Personen geraten sei. Da er als Parteiloser kandidiert habe und chancenlos gewesen sei, leuchte nicht ein, dass er in diesem Zusammenhang mit dem Tod bedroht worden sein solle. Er habe nicht angeben können, um wen es sich bei den Angreifern gehandelt habe. Aus dem Umstand, dass andere Kandidaten derselben Liste ebenfalls ausgereist seien, könne er nichts zu seinen Gunsten ableiten, da er keine genauen Angaben zu deren Probleme habe machen können. Die eingereichten Beweismittel vermöchten nur seine Kandidatur bei den Wahlen zu belegen, woran aber nicht gezweifelt werde. Das Schreiben eines Parlamentariers sei als Gefälligkeitsschreiben zu bewerten. 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Er habe nicht glaubhaft gemacht, vor seiner Ausreise relevanten Verfolgungsmassnahmen ausgesetzt gewesen zu sein; vielmehr habe er nach dem Kriegsende noch über sechs Jahre in seinem Heimatstaat gelebt. Allfällige im Zeitpunkt seiner Ausreise bestehenden Risikofaktoren vermöchten folglich kein Verfolgungsinteresse seitens der sri-lankischen Behörden auszulösen. Insgesamt würden die Vorbringen des Beschwerdeführers weder den Anforderungen an die Flüchtlingseigenschaft gemäss Art. 3 AsylG noch denjenigen an die Glaubhaftigkeit gemäss Art. 7 AsylG standhalten. Im Weiteren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Vollzug von Wegweisungen in die Nord- und in die Ostprovinz sei gemäss der Rechtsprechung des Bundesverwaltungsgerichts grundsätzlich zumutbar, wenn individuelle Zumutbarkeitskriterien bejaht werden könnten. Der Beschwerdeführer verfüge über eine gute Schuldbildung und sei in der Lage gewesen, seinen Lebensunterhalt zu bestreiten. Zudem würden mehrere Familienangehörige im Distrikt Jaffna leben.</w:t>
      </w:r>
    </w:p>
    <w:p>
      <w:r>
        <w:rPr>
          <w:b/>
        </w:rPr>
        <w:t>E. 3.2.1</w:t>
      </w:r>
    </w:p>
    <w:p>
      <w:r>
        <w:t>Der Beschwerdeführer führte in seiner Beschwerdeschrift aus, die Zweifel der Vorinstanz an der Glaubhaftigkeit seiner Vorbringen würden sich bei einer näheren Betrachtung als unbegründet erweisen. Die Relevanz seiner Aussagen zu dem beim ersten Übergriff ausgesprochenen Verbot, eine Strafanzeige zu erstatten, sei fraglich. Jedenfalls sei für ihn die Drohung, nicht mehr an Wahlkampfveranstaltungen teilzunehmen, von grösserer Bedeutung gewesen. Angesichts der Defizite in der Rechts-staatlichkeit wäre eine Überführung der Täter ohnehin nicht gewährleistet gewesen. Widersprüche in seinen Schilderungen dieses Ereignisses anlässlich der beiden Befragungen seien nicht erkennbar. Die Folgerung des SEM, er habe diesen Vorfall über Nacht vergessen, sei nicht korrekt. Vielmehr sei seine Aussage so zu verstehen, dass er nicht mehr daran habe denken und weiterhin für seine Überzeugungen habe einstehen wollen. Zu den ihm vorgehaltenen Widersprüchen in seinen Aussagen betreffend den Vorfall vom 13. August 2015 habe er sich bereits in der Anhörung ausführlich geäussert. Seine Ausführungen in der BzP zu diesem Sachverhaltselement seien nur summarisch und nicht sehr klar formuliert gewesen, weshalb zur Feststellung von Widersprüchen nicht darauf abgestützt werden dürfe. Es sei ihm nicht gelungen, seine Geschichte kurz und trotzdem vollständig zusammenzufassen. Ohnehin sei es gemäss geltender Rechtsprechung nicht rechtmässig, Widersprüche zwischen den Aussagen bei der BzP und der vertieften Anhörung derart stark zu gewichten. Die Behauptung der Vorinstanz müsse zurückgewiesen werden, seine Ausführungen zum Übergriff vom 12. August 2015 seien wirr und würden kein klares Bild erkennen lassen, sowie seine Aussagen seien detailarm und ohne Realkennzeichen gewesen. Seine Schilderungen bei der Anhörung seien vielmehr logisch und verständlich. Er habe sehr ausführlich berichtet und alle Fragen detailliert beantwortet. Insbesondere seien die starken Emotionen zu berücksichtigen, die dieser Vorfall bei ihm immer noch hervorrufe. Dass er diesen hauptsächlich aus der Perspektive seiner Eltern geschildert habe, sei wenig erstaunlich, da er dieses Ereignis grösstenteils aus dem Haus heraus beobachtet habe und erst später dazugestossen sei. Insgesamt würden seine Aussagen ein kohärentes und detailliertes Bild seiner Verfolgungssituation ergeben. Sie seien als überwiegend wahrscheinlich und damit glaubhaft zu bewerten.</w:t>
      </w:r>
    </w:p>
    <w:p>
      <w:r>
        <w:rPr>
          <w:b/>
        </w:rPr>
        <w:t>E. 3.2.2</w:t>
      </w:r>
    </w:p>
    <w:p>
      <w:r>
        <w:t>Er sei bei den beiden Übergriffen brutal angegriffen und mit dem Tod bedroht worden, weshalb die erforderliche Intensität der Verfolgung gegeben sei. Es habe sich um gezielte Angriffe auf sein Leben wegen seiner politischen Aktivitäten gehandelt. Er sei wahrscheinlich wegen des Programms seiner Wahlliste ins Visier der etablierten Gegenparteien geraten, Er werde einerseits wegen seiner politischen Gesinnung verfolgt und leide andererseits wegen seiner Zugehörigkeit zur tamilischen Ethnie unter der immer noch verbreiteten Kultur der Straflosigkeit bei Straftaten gegen die Tamilen. Bei den Angreifern habe es sich möglicherweise um Mitarbeiter des CID, eventuell auch um Angehörige von Gegenparteien oder um Auftragskiller gehandelt. Der Umstand alleine, dass er die Angreifer nicht kenne, sei kein Grund, daran zu zweifeln, dass er verfolgt werde. Der vormalige Vorsitzende seiner unabhängigen Wahlliste sowie ein anderer Kandidat seien ebenfalls verfolgt worden und deshalb geflohen; ein weiterer Kandidat sei nach einer Befragung tot aufgefunden worden. Diese Umstände seien als Indiz dafür zu erachten, dass er ebenfalls an Leib und Leben bedroht sei; denn es gebe keinen Anhaltspunkt dafür, dass sich seine Situation von derjenigen der genannten Personen abweiche. Sri Lanka sei nicht in der Lage oder willens, Vorkehrungen zum Schutz von Tamilen in seiner Situation zu treffen. Es sei bekannt, dass das Justiz- und Polizeiwesen des sri-lankischen Staats nicht unabhängig sei und die Straflosigkeit bei Vergehen gegen Tamilen durch die Willkür der Sicherheitsbehörden begünstigt werde. Das Bundesverwaltungsgericht habe im seinem Urteil D-5453/2010 ausdrücklich festgestellt, dass die Angst der tamilischen Bevölkerung, die Behörden einzuschalten, nachvollziehbar sei, weil der Staat seine Schutzpflicht nicht wahrnehme. Es müsse davon ausgegangen werden, dass die Aktivitäten paramilitärischer Gruppierungen in den früheren Bürgerkriegsgebieten geduldet oder gar gefordert würden. Aus diesen Gründen könne er nicht den Schutz der heimatlichen Behörden gegen die befürchtete Verfolgung in Anspruch nehmen. Die drohende Verfolgung sei im Weiteren auch als aktuell zu qualifizieren. Es gebe keine Hinweise dafür, dass sich seine Situation soweit gebessert habe, dass er nicht mehr in Gefahr wäre. Seine Rückkehr würde nicht unbemerkt bleiben, und es sei davon auszugehen, dass er sich wiederum politisch engagieren würde. Seine Verfolger hätten ihn unter allen Umständen umbringen wollen, und er sei auch nach seiner Flucht immer noch zu Hause gesucht worden. Die allgemeine Lage in Sri Lanka habe sich seit seiner Flucht nicht wesentlich gebessert. Namentlich setze sich die Militarisierung im Norden und Osten des Landes trotz des Regierungswechsels fort. Es sei davon auszugehen, dass seine Verfolger unbestraft bleiben würden und ihm mit hoher Wahrscheinlichkeit ähnliche Verfolgung drohe. Schliesslich verfüge er nicht über eine inländische Fluchtalternative, weshalb ihm Asyl zu gewähren sei. Im Weiteren könne der Argumentation der Vorinstanz, wonach ihm keine gemäss Art. 3 EMRK verbotene Strafe oder Behandlung drohe, nicht gefolgt werden, da es Grund zur Annahme gebe, dass ihm der Tod drohe. Er habe vor seiner Ausreise im Vanni-Gebiet gelebt und seine in Sri Lanka verbliebene Familie halte sich immer noch dort auf. Da er immer noch gesucht werde, sei seine Sicherheit im Vanni-Gebiet nicht gewährleistet.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Schweizerischen Asylrekurskommission [EMARK] 2005 Nr. 21 E. 6.1 S. 190 f.; Anne Kneer / Linus Sonderegger, Glaubhaftigkeitsprüfung im Asylverfahren - Ein Überblick über die Rechtsprechung des Bundes-verwaltungsgerichts, in: ASYL 2/2015 S. 5).</w:t>
      </w:r>
    </w:p>
    <w:p>
      <w:r>
        <w:rPr>
          <w:b/>
        </w:rPr>
        <w:t>E. 5.1.2</w:t>
      </w:r>
    </w:p>
    <w:p>
      <w:r>
        <w:t>Aussagewidersprüche zwischen den Protokollen der summarischen ersten Befragung und der einlässlichen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5.2</w:t>
      </w:r>
    </w:p>
    <w:p>
      <w:r>
        <w:t>Der Einschätzung der Vorinstanz, wonach die Asylvorbringen des Beschwerdeführers als unglaubhaft zu qualifizieren seinen, kann sich das Bundesverwaltungsgericht nicht anschliessen. Eine Durchsicht der Befragungsprotokolle ergibt, dass er die gewaltsamen Übergriffe vom 12. und 13. August 2015 sehr ausführlich und detailliert beschrieben hat. Seine authentisch und plausibel erscheinenden Ausführungen weisen zudem zahlreiche weitere Realkennzeichen auf, wie namentlich detaillierte Ausführungen auch ausserhalb der Kernvorbringen, Schilderungen seiner eigenen Gefühle und Gedanken, sowie Wiedergabe von Aussagen von Drittpersonen (vgl. dazu Revital Ludewig, Daphna Tavor, Sonja Baumer: Wie können aussagepsychologische Erkenntnisse Richtern, Staatsanwälten und Anwälten helfen?, Aktuelle Juristische Praxis 11/2011 S 1424 ff.). Der Vorhalt, die Vorbringen des Beschwerdeführers seien vage und widersprüchlich, ist nicht berechtigt; seine Aussagen anlässlich der beiden Befragungen stimmen in den wesentlichen Punkten überein. Dass der Beschwerdeführer die Warnung, keine Anzeige gegen die Angreifer einzureichen, erst im Rahmen der Anhörung erwähnte, kann ihm in Anbetracht des summarischen Charakters der BzP nicht zum Vorwurf gemacht werden. Die unterschiedlichen Angaben zur Anzahl der Angreifer beim zweiten Übergriff hat der Beschwerdeführer ebenso plausibel zu erklären vermocht (vgl. Pro-tokoll Anhörung A18 F117 ff.) wie den Grund dafür, dass er dieses Ereignis vorab aus der Perspektive seiner Eltern schilderte. Im Übrigen betreffen die ihm von der Vorinstanz vorgehaltenen Ungereimtheiten Sachverhaltselemente, denen im Gesamtzusammenhang seiner Asylvorbringen keine massgebliche Bedeutung beizumessen ist; sie sind demnach nicht geeignet, berechtigte Zweifel an der Glaubhaftigkeit seiner Vorbringen zu wecken.</w:t>
      </w:r>
    </w:p>
    <w:p>
      <w:r>
        <w:rPr>
          <w:b/>
        </w:rPr>
        <w:t>E. 5.3</w:t>
      </w:r>
    </w:p>
    <w:p>
      <w:r>
        <w:t>Schliesslich trifft es zwar zu, dass ein Motiv für die geschilderten Verfolgungsmassnahmen nicht klar erkennbar ist. Die Erklärung des Beschwerdeführers, dass diese im Zusammenhang mit der von seiner Wahlliste geäusserten Kritik an den etablierten Parteien gestanden hätten, erscheint aber nicht als abwegig.</w:t>
      </w:r>
    </w:p>
    <w:p>
      <w:r>
        <w:rPr>
          <w:b/>
        </w:rPr>
        <w:t>E. 5.4</w:t>
      </w:r>
    </w:p>
    <w:p>
      <w:r>
        <w:t>Zusammenfassend erweisen sich die Vorbringen des Beschwerdeführers als überwiegend wahrscheinlich und damit als glaubhaft gemacht.</w:t>
      </w:r>
    </w:p>
    <w:p>
      <w:r>
        <w:rPr>
          <w:b/>
        </w:rPr>
        <w:t>E. 5.5.1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Peter Uebersax / Beat Rudin / Thomas Hugi Yar / Thomas Geiser [Hrsg.], Ausländerrecht, 2. Aufl., 2009, Rz. 11.17 und 11.18). Die Anerkennung der Flüchtlingseigenschaft setzt aufgrund der Subsidiarität des flüchtlingsrechtlichen Schutzes voraus, dass die betroffene Person in ihrem Heimatstaat keinen adäquaten Schutz finden kann. Übergriffe durch Dritte - oder Befürchtungen, künftig solchen ausgesetzt zu sein - sind nur dann asylrelevant, wenn der Staat seiner Schutzpflicht nicht nachkommt oder nicht in der Lage ist, Schutz zu gewähren. Gemäss Rechtsprechung des Bundesverwaltungsgerichts gilt der sri-lankische Staat sowohl als schutzfähig als auch schutzwillig (vgl. dazu statt vieler zuletzt Urteile des Bundesverwaltungsgerichts E-6427/2017 vom 29. Juli 2019 E. 5.1.2 und E-557/2017 vom 17. Juli 2019 E. 6.2).</w:t>
      </w:r>
    </w:p>
    <w:p>
      <w:r>
        <w:rPr>
          <w:b/>
        </w:rPr>
        <w:t>E. 5.5.2</w:t>
      </w:r>
    </w:p>
    <w:p>
      <w:r>
        <w:t>Es besteht Grund zur Annahme, dass die vom Beschwerdeführer vorgebrachten Übergriffe im Zusammenhang mit seiner Kandidatur und seinen Wahlkampfbemühungen für die Parlamentswahlen im Jahr 2015 standen. Gemäss Aktenlage hat er sich aber seither weder in seinem Heimatland noch im Exil weiter politisch engagiert. Zudem brachte er zwar vor, kurz nach seinem Umzug nach E._______ zu Hause gesucht worden zu sein; seinen Aussagen ist aber auch zu entnehmen, dass er sich vor seiner Ausreise rund ein halbes Jahr in E._______ aufhielt, ohne dass er dort irgendwelche Nachteile erlitten hätte. Er hat auch nicht geltend gemacht, dass er nach seiner Ausreise noch gesucht worden wäre. Vor diesem Hintergrund ist ein aktuelles Verfolgungsinteresse aufgrund seines Engagements im Zusammenhang mit den rund vier Jahre zurückliegenden Parlamentswahlen zu verneinen. Der Beschwerdeführer vermochte im Weiteren keine konkreten Angaben zu den Problemen zu machen, die den Ex-Vorsitzenden seiner Wahlliste sowie einen Mitkandidaten ebenfalls zur Flucht nach Europa bewogen hätten. Demnach ergeben sich auch aus diesem Vorbringen keine konkreten Anhaltspunkte dafür, dass er selber aktuell mit asylrelevanten Verfolgungsmassnahmen zu rechnen hat. Die von ihm geäusserte Befürchtung, im Falle eines erneuten politischen Engagements nach seiner Rückkehr verfolgt zu werden, muss als blosse Mutmassung bezeichnet werden, die für die Annahme einer konkreten Gefährdung nicht ausreicht.</w:t>
      </w:r>
    </w:p>
    <w:p>
      <w:r>
        <w:rPr>
          <w:b/>
        </w:rPr>
        <w:t>E. 5.5.3</w:t>
      </w:r>
    </w:p>
    <w:p>
      <w:r>
        <w:t>Insgesamt ergeben sich aus den Akten demnach keine hinreichenden Anhaltspunkte dafür, dass der Beschwerdeführer im heutigen Zeitpunkt begründete Furcht hat, im Zusammenhang mit der geschilderten Vorverfolgung mit beachtlicher Wahrscheinlichkeit und in absehbarer Zukunft Verfolgungsmassnahmen im Sinne von Art. 3 AsylG zu erleiden.</w:t>
      </w:r>
    </w:p>
    <w:p>
      <w:r>
        <w:rPr>
          <w:b/>
        </w:rPr>
        <w:t>E. 5.5.4</w:t>
      </w:r>
    </w:p>
    <w:p>
      <w:r>
        <w:t>Zu Recht hat die Vorinstanz ferner festgestellt, dass auch unter Berücksichtigung der vom Bundesverwaltungsgericht in seinem Referenz-urteil E-1866/2015 vom 15. Juli 2016 definierten Risikofaktoren keine Anhaltspunkte für eine begründete Furcht des Beschwerdeführers vor asylrelevanter Verfolgung durch die sri-lankischen Behörden zu erkennen sind. Insbesondere besteht keinerlei Anlass anzunehmen, dass er befürchten muss, die sri-lankischen Behörden könnten ihm eine Verbindung zu den Liberation Tigers of Tamil Eelam (LTTE) unterstellen.</w:t>
      </w:r>
    </w:p>
    <w:p>
      <w:r>
        <w:rPr>
          <w:b/>
        </w:rPr>
        <w:t>E. 5.6</w:t>
      </w:r>
    </w:p>
    <w:p>
      <w:r>
        <w:t>Zusammenfassend ist festzuhalten, dass es dem Beschwerdeführer nicht gelungen ist, eine Verfolgungsgefahr im Sinne von Art. 3 AsylG nachzuweisen oder glaubhaft darzutun. Das SEM hat demnach im Ergebnis zu Recht seine Flüchtlingseigenschaft verneint und sein Asylgesuch abgewiesen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nach Auffassung des Gerichts nicht als unzulässig erscheinen (vgl. Urteil des BVGer E-1866/2015, a.a.O., E. 12.2).</w:t>
      </w:r>
    </w:p>
    <w:p>
      <w:r>
        <w:rPr>
          <w:b/>
        </w:rPr>
        <w:t>E. 7.2.4</w:t>
      </w:r>
    </w:p>
    <w:p>
      <w:r>
        <w:t>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w:t>
      </w:r>
    </w:p>
    <w:p>
      <w:r>
        <w:rPr>
          <w:b/>
        </w:rPr>
        <w:t>E. 7.2.5</w:t>
      </w:r>
    </w:p>
    <w:p>
      <w:r>
        <w:t>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7.2.6</w:t>
      </w:r>
    </w:p>
    <w:p>
      <w:r>
        <w:t>Der Vollzug der Wegweisung ist bei dieser Aktenklage als zulässig zu qualifizieren.</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und es herrscht weder Krieg noch eine Situation allgemeiner Gewalt (vgl. BVGE 2011/24 E. 13.2.1). Im Referenzurteil E-1866/2015 vom 15. Juli 2016 ist das Gericht nach einer eingehenden Analyse der Sicherheitslage in Sri Lanka zum Schluss gekommen, dass der Vollzug von Wegweisungen in die Nordprovinz grundsätzlich zumutbar ist (vgl. E. 13.2). Betreffend den Distrikt Jaffna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qualifizierte das Bundesverwaltungsgericht auch den Vollzug von Wegweisungen ins "Vanni-Gebiet" grundsätzlich als zumutbar (vgl. Urteil D-3619/2016 vom 16. Oktober 2017 E. 9.5).</w:t>
      </w:r>
    </w:p>
    <w:p>
      <w:r>
        <w:rPr>
          <w:b/>
        </w:rPr>
        <w:t>E. 7.3.3</w:t>
      </w:r>
    </w:p>
    <w:p>
      <w:r>
        <w:t>Nach Auffassung des Gerichts hat die Vorinstanz vorliegend zu Recht auch das Bestehen individueller Wegweisungshindernisse verneint. Der junge und gemäss Aktenlage gesunde Beschwerdeführer verfügt gemäss Aktenlage sowohl in Jaffna als auch in E._______ über Bezugspersonen, auf deren Unterstützung er mutmasslich zählen kann. Ferner hat er berufliche Erfahrungen, welche es ihm ermöglichen werden, eine wirtschaftliche Existenz für sich aufzubauen.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indessen mit Zwischenverfügung vom Instruktionsverfügung vom 16. Oktober 2018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10</w:t>
      </w:r>
    </w:p>
    <w:p>
      <w:r>
        <w:t>Mit der Instruktionsverfügung vom 16. Oktober 2018 wurde auch das Gesuch des Beschwerdeführers um amtliche Verbeiständung gutgeheissen (aArt. 110a Abs. 1 VwVG) und seine Rechtsvertreterin als Rechtsbeiständin eingesetzt. Demnach ist dieser ein amtliches Honorar für ihre notwendigen Aufwendungen im Beschwerdeverfahren auszurichten. Die Rechtsbeiständin hat in ihrer Kostennote vom 19. September 2018 einen Zeitaufwand von total 18 Stunden ausgewiesen. Dieser Zeitaufwand erscheint indessen als überhöht, weshalb er auf ein als angemessen zu erachtendes Mass von 12 Stunden zu kürzen ist. Der Stundenansatz von Fr. 150.- liegt im Kostenrahmen. Indes ist die Dossiereröffnungs-Pauschale zu kürzen; generelle Pauschalen werden praxisgemäss nicht vergütet, sondern nur effektiv ausgewiesene Kosten entschädigt. Demzufolge ist der amtlichen Rechtsbeiständin ein Gesamtbetrag von Fr. 2046.- (inkl. Auslagen)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