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E-5358/2015 vom 2. Dezember 2015</w:t>
      </w:r>
    </w:p>
    <w:p>
      <w:r>
        <w:t>Bundesverwaltungsgericht, 2015-12-02, DE</w:t>
      </w:r>
    </w:p>
    <w:p>
      <w:r>
        <w:rPr>
          <w:b/>
        </w:rPr>
        <w:t xml:space="preserve">Quelle: </w:t>
      </w:r>
      <w:r>
        <w:t>https://mcp.opencaselaw.ch/entscheid/bvger_E-5358_2015</w:t>
      </w:r>
    </w:p>
    <w:p>
      <w:r>
        <w:t>FR: TAF E-5358/2015 du 2 décembre 2015</w:t>
      </w:r>
    </w:p>
    <w:p>
      <w:r>
        <w:t>IT: TAF E-5358/2015 del 2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die Unangemessenheit gerügt werden (Art. 37 VGG i.V.m. Art. 49 VwVG; vgl. BVGE 2014/26 E. 5).</w:t>
      </w:r>
    </w:p>
    <w:p>
      <w:r>
        <w:rPr>
          <w:b/>
        </w:rPr>
        <w:t>E. 3.1</w:t>
      </w:r>
    </w:p>
    <w:p>
      <w:r>
        <w:t>Die Verfahrensleitung ist Sache des Gerichts. Gehen in einem Gerichtsverfahren Vernehmlassungen und Stellungnahmen von Parteien und Behörden ein, so werden diese den übrigen Verfahrensbeteiligten im Allgemeinen zur Kenntnisnahme zugestellt. Dabei entscheidet das Gericht, ob die Zustellung mit der Anordnung eines zweiten Schriftenwechsels verbunden wird, die Zustellung unter förmlicher Fristansetzung zur freigestellten Vernehmlassung ergeht oder die Zustellung ohne Hinweis auf eine allfällig weitere Äusserungsmöglichkeit zur blossen Kenntnisnahme erfolgt. Wenn das Gericht eine neu eingegangene Eingabe lediglich zur Kenntnisnahme zustellt, zeigt es damit an, dass es eine Replik für nicht erforderlich erachtet und die Eingabe nichts Neues enthält.</w:t>
      </w:r>
    </w:p>
    <w:p>
      <w:r>
        <w:rPr>
          <w:b/>
        </w:rPr>
        <w:t>E. 3.2</w:t>
      </w:r>
    </w:p>
    <w:p>
      <w:r>
        <w:t>Kommen Verfahrensbeteiligte, die eine Eingabe ohne Fristansetzung erhalten haben, zum Schluss, sie möchten nochmals zur Sache Stellung nehmen, so sollen sie dies aus Gründen des Zeitgewinns tun, ohne vorher darum nachzusuchen (BGE 133 I 98 E. 2.2 S. 99 f.).</w:t>
      </w:r>
    </w:p>
    <w:p>
      <w:r>
        <w:rPr>
          <w:b/>
        </w:rPr>
        <w:t>E. 3.3</w:t>
      </w:r>
    </w:p>
    <w:p>
      <w:r>
        <w:t>Vorliegend hat der Beschwerdeführer keine Stellungnahme eingereicht, sondern um Ansetzung einer Frist zur Einreichung einer Replik ersucht. Abgesehen davon, dass kein Anspruch auf einen zweiten Schriftenwechsel besteht, begründet der Beschwerdeführer nicht, weshalb er eine Replikschrift für erforderlich hält. Solches ist auch nicht ersichtlich, zumal ihm das Gericht durch die Zustellung der vorinstanzlichen Vernehmlassung zur blossen Kenntnisnahme angezeigt hat, dass diese nichts Relevantes enthält, das nicht bereits in der angefochtenen Verfügung steht. Da kein Anspruch besteht und der Antrag nicht begründet wird, ist er abzuweisen. Abschliessend bleibt festzustellen, dass der Beschwerdeführer mittlerweile mehr als drei Wochen hat verstreichen lassen, ohne eine inhaltliche Stellungnahme dazu abzugeben.</w:t>
      </w:r>
    </w:p>
    <w:p>
      <w:r>
        <w:rPr>
          <w:b/>
        </w:rPr>
        <w:t>E. 4</w:t>
      </w:r>
    </w:p>
    <w:p>
      <w:r>
        <w:t>Die Beschwerde enthält folgende Rügen: Verletzung des Anspruchs auf rechtliches Gehör (E. 5), der Begründungspflicht (E. 6), der vollständigen und richtigen Feststellung des rechtserheblichen Sachverhalts (E. 7) sowie verschiedene Bundesrechtsverletzungen (E. 8).</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5.2</w:t>
      </w:r>
    </w:p>
    <w:p>
      <w:r>
        <w:t>Der Beschwerdeführer führt zunächst aus, die Vorinstanz habe das rechtliche Gehör verletzt, indem sie ihn zur Übersetzung fremdsprachiger Dokumente trotz finanzieller Probleme aufgefordert habe. Die Behörden können von Asylsuchenden verlangen, für die Übersetzung fremdsprachiger Dokumente in eine Amtssprache besorgt zu sein (Art. 8 Abs. 2 AsylG) und eine Übersetzung wird nur angeordnet, wo dies nötig ist (Art. 33a Abs. 4 VwVG). Die Aufforderung des Beschwerdeführers zur Übersetzung ist nicht zu beanstanden. Ebenso wenig, dass die nachträgliche Vergütung abgelehnt wurde. Die Vorinstanz geht nämlich zutreffend davon aus, dass ein angebotenes Beweismittel nur dann abzunehmen ist, wenn es beweistauglich ist. Die Frage, ob es zum Beweis tauglich und eine Übersetzung nötig ist, lässt sich erst beantworten, wenn der Inhalt bekannt ist. Dem Beschwerdeführer wurde denn auch korrekterweise mitgeteilt, erforderlich sei zumindest eine genaue Inhaltsangabe unter Angabe der Elemente, die durch das Dokument bewiesen werden sollen (SEM-Akten, A18/3). Da dies nicht zutraf, war die Vorinstanz auch nicht verpflichtet, dem Beschwerdeführer nachträglich die Übersetzungskosten zu vergüten. Alle tauglichen Beweismittel (Anklageschrift, Urteil, Rekursschrift) liegen mit Übersetzung in den vorinstanzlichen Akten (vgl. SEM-Akten, A17/18, A27/3 und A28/11). Eine Gehörsverletzung liegt nicht vor. Der Beschwerdeführer rügt weiter, der Gehörsanspruch sei verletzt, weil die letzte Anhörung eineinhalb Jahre zurückliege und sich die Lage in der Türkei verändert habe. Zeitliche Vorgaben ergeben sich aus dem Beschleunigungsgebot, wonach jede Person in Verfahren vor Gerichts- und Verwaltungsverfahren Anspruch auf Beurteilung innert angemessener Frist hat (Art. 29 Abs. 1 BV), nicht aber aus dem Anspruch auf rechtliches Gehör (Art. 29 Abs. 2 BV). Die Rüge geht fehl. Soweit der Beschwerdeführer eine veränderte Sachlage in der Türkei geltend macht, stand es ihm offen, sich zu relevanten Fragen nochmals zu äussern. Die Frage allerdings, ob das Verfahren in der Türkei nach wie vor hängig ist, erweist sich als nicht asylrelevant (vgl. E. 7.4).</w:t>
      </w:r>
    </w:p>
    <w:p>
      <w:r>
        <w:rPr>
          <w:b/>
        </w:rPr>
        <w:t>E. 5.3</w:t>
      </w:r>
    </w:p>
    <w:p>
      <w:r>
        <w:t>Der Anspruch auf rechtliches Gehör in Form des Äusserungsrechts, des Akteneinsichtsrechts und des Rechts auf Beweis ist nicht verletzt.</w:t>
      </w:r>
    </w:p>
    <w:p>
      <w:r>
        <w:rPr>
          <w:b/>
        </w:rPr>
        <w:t>E. 6.1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6.2</w:t>
      </w:r>
    </w:p>
    <w:p>
      <w:r>
        <w:t>Der Beschwerdeführer rügt, die Begründung betreffend die Sicherheitsaufnahmen sei ein "reines Fantasieprodukt" und basiere nicht auf den Akten (Beschwerde, S. 10). Tatsächlich spricht aber die Staatsanwaltschaft in der Anklage davon, dass man über Sicherheitskameras auf den Beschwerdeführer aufmerksam geworden sei (vgl. SEM-Akten, A17/18 [Anklage] sowie A28/11 [Urteil]). Die Begründung ist durch die Akten fundiert. Weiter wirft der Beschwerdeführer der Vorinstanz vor, sie habe die Protokolle nicht sorgfältig gelesen. So habe er an betreffender Stelle kein Verfolgungsinteresse geltend gemacht, sondern vorgebracht, die türkischen Sicherheitskräfte hätten ihn eingeschüchtert, um ihn anzuwerben (Beschwerde, S. 12). Die Rüge ist schwer verständlich. Die Beschwerde verneint damit eine gezielte individuelle Verfolgung, die er im Verfahren gerade glaubhaft zu machen hat.</w:t>
      </w:r>
    </w:p>
    <w:p>
      <w:r>
        <w:rPr>
          <w:b/>
        </w:rPr>
        <w:t>E. 6.3</w:t>
      </w:r>
    </w:p>
    <w:p>
      <w:r>
        <w:t>Der Begründungspflicht ist nicht verletzt. Die Beschwerde selbst zeigt denn auch, dass eine sachgerechte Anfechtung möglich war. Die übrigen Vorbringen betreffen nicht die Begründungspflicht der Verfügung, sondern die vorinstanzliche Beweiswürdigung. Darauf ist später einzugehen.</w:t>
      </w:r>
    </w:p>
    <w:p>
      <w:r>
        <w:rPr>
          <w:b/>
        </w:rPr>
        <w:t>E. 7.1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BVGer E-36/2008 vom 30. November 2011, E. 5.1).</w:t>
      </w:r>
    </w:p>
    <w:p>
      <w:r>
        <w:rPr>
          <w:b/>
        </w:rPr>
        <w:t>E. 7.2</w:t>
      </w:r>
    </w:p>
    <w:p>
      <w:r>
        <w:t>Der Beschwerdeführer macht geltend, die Vorinstanz habe das noch hängige türkische Gerichtsverfahren, die drohende Verfolgung wegen Nichtleisten des Militärdienstes, die veränderte Sicherheitslage in der Türkei sowie seinen Gesundheitszustand nicht oder mangelhaft abgeklärt. Die Vorinstanz kommt zum Schluss, dass der Beschwerdeführer in der Türkei mit einem rechtsstaatlich korrekten Verfahren rechnen kann, zumal er in erster Instanz vom Vorwurf der PKK-Propaganda freigesprochen wurde und die Drohung mit einer Bombenattrappe ein gemeinrechtliches Delikt darstellt. Da dieser Schluss Bundesrecht nicht verletzt (vgl. E. 7.4), ist auf die entsprechenden Rügen nicht weiter einzugehen. Die Militärdienstverweigerung in der Türkei ist asylrechtlich nicht relevant (Art. 3 Abs. 3 AsylG; vgl. Entscheidungen und Mitteilungen der Schweizerischen Asylrekurskommission [EMARK] 2004 Nr. 2), weshalb der Sachverhalt diesbezüglich auch nicht weiter abgeklärt werden muss. Was die Sicherheitslage anbelangt, ist erneut darauf hinzuweisen, dass es dem Beschwerdeführer möglich war, sich in das Verfahren einzubringen, wenn er es für nötig hielt. Dass die Vorinstanz noch kurz vor der Änderung ihrer Praxis verfügt habe, ist eine durch nichts belegte Unterstellung. Ferner war die Vorinstanz nicht verpflichtet, Massnahmen anzuordnen, um den Gesundheitszustand und eine allfällige Behandlungsmöglichkeit näher abzuklären. Ein ärztlicher Bericht liegt bei den Akten (SEM-Akten, A26/2).</w:t>
      </w:r>
    </w:p>
    <w:p>
      <w:r>
        <w:rPr>
          <w:b/>
        </w:rPr>
        <w:t>E. 7.3</w:t>
      </w:r>
    </w:p>
    <w:p>
      <w:r>
        <w:t>Der Sachverhalt ist, soweit erheblich, vollständig und richtig festgestellt. Der Beschwerdeführer hatte in genügendem Ausmass Gelegenheit, zu seinen Asylgründen und zu seiner Situation Stellung zu nehmen und allfällige Beweismittel einzureichen; er hat sich denn auch im Beschwerdeverfahren ausführlich geäussert und zahlreiche Beweismittel eingereicht. Das Einholen einer Botschaftsabklärung sowie eine Kontaktaufnahme mit dem türkischen Anwalt des Beschwerdeführers ist nach den vorstehenden Ausführungen nicht angezeigt. Die Anträge, er sei erneut anzuhören, es sei ihm eine ausreichende zusätzliche Beweismittelfrist zur Beibringung eines Arztberichts zu seinem Gesundheitszustand anzusetzen, es sei eine Botschaftsabklärung vornehmen zu lassen und es sei mit dem türkischen Anwalt des Beschwerdeführers Kontakt aufzunehmen, sind daher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8.2</w:t>
      </w:r>
    </w:p>
    <w:p>
      <w:r>
        <w:t>Die Vorinstanz kommt in der angefochtenen Verfügung zum Schluss, die türkischen Behörden hätten das Strafverfahren gegen den Beschwerdeführer aus legitimen Motiven und mit rechtsstaatlich korrekten Methoden geführt. Es sei ihm zumutbar, den weiteren Verlauf des Strafverfahrens in der Türkei abzuwarten, da er damit verbunden keine ausreichend begründete Furcht vor einer asylrelevanten Verfolgung habe geltend machen können. Die diesbezüglichen Vorbringen seien somit nicht asylbeachtlich. Die vom Beschwerdeführer vorgebrachte Verfolgung durch Geheimdienstangehörige in C._______ sei nicht glaubhaft. Das Vorbringen, er wolle in der Türkei keinen Militärdienst leisten, sei nicht asylrelevant. Gleiches gelte für seine Zugehörigkeit zum Alevitentum.</w:t>
      </w:r>
    </w:p>
    <w:p>
      <w:r>
        <w:rPr>
          <w:b/>
        </w:rPr>
        <w:t>E. 8.3</w:t>
      </w:r>
    </w:p>
    <w:p>
      <w:r>
        <w:t>Der Beschwerdeführer wendet dagegen ein, es sei in der momentanen Situation in der Türkei sehr unwahrscheinlich, dass die Fortsetzung des Verfahrens gegen ihn in einem rechtsstaatlichen Rahmen weitergeführt werde. Würden seine Schilderungen in ihrer Detailliertheit mit seinen emotionalen Ausbrüchen kombiniert, so sei ohne weiteres von der Glaubhaftigkeit seiner Vorbringen bezüglich des türkischen Geheimdienstes auszugehen. Der Rekurs des Staatsanwaltes stelle ein ideales Druckmittel dar, um ihn für den türkischen Geheimdienst als Spitzel zu gewinnen.</w:t>
      </w:r>
    </w:p>
    <w:p>
      <w:r>
        <w:rPr>
          <w:b/>
        </w:rPr>
        <w:t>E. 8.4</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beziehungsweise nicht asylrelevant ist. Die Vorinstanz führt zutreffend aus, dass das Gerichtsverfahren gegen den Beschwerdeführer rechtsstaatlich korrekt durchgeführt wurde. Die Beschwerde vermag dem nichts entgegenzusetzen. Aus der allgemein schwierigen Situation, die zurzeit in der Türkei herrscht, kann der Beschwerdeführer nichts zu seinen Gunsten ableiten. Dass die allgemeine Lage Auswirkungen auf das weitere Verfahren habe, ist eine blosse Vermutung, die durch nichts substantiiert oder belegt wird. Mit der Vorinstanz ist die geltend gemachte Verfolgung - oder wie in der Beschwerde genannt: ein Interesse, den Beschwerdeführer durch Druckausübung für die Bespitzelung von kurdischen Aktivisten zu gewinnen - als nicht glaubhaft einzustufen. Angesichts des milden erstinstanzlichen Urteils zu 25 Tagen Haft wegen Vortäuschung eines gemeinrechtlichen Delikts und des Vorlebens des Beschwerdeführers (keine Parteimitgliedschaft, erste persönliche Protestaktion, keine Vorstrafen) ist nicht nachvollziehbar, warum die türkischen Behörden oder der türkische Geheimdienst ein Interesse an ihm haben sollten. Zudem fällt auf, dass, obwohl in der BzP eine verhältnismässig ausführliche Befragung zu den Asylgründen stattgefunden hat, der Beschwerdeführer in der Anhörung erstmals erwähnt, dass er bei den "Entführungen" an abgelegene Orte durch den Geheimdienst teilweise mit einer Pistole am Kopf bedroht worden sei. Dass er solch gewichtige Vorwürfe gegen die türkischen Behörden nicht bereits in der BzP vorbringt, ist nicht verständlich. Sie müssen deshalb als nachgeschoben und somit als unglaubhaft qualifiziert werden. Ebenfalls nicht nachvollziehbar ist die Tatsache, dass er trotz der angeblichen Druckversuche des türkischen Geheimdienstes noch Monate in der Türkei zugebracht hat. Dies entspricht nicht dem Verhalten einer verfolgten Person. Finanzielle Probleme, die eine frühere Ausreise angeblich verhindert hätten, sind nicht glaubhaft, zumal er bis zu seiner Ausreise gearbeitet hat. Ausserdem ist davon auszugehen, dass er, wären die Druckversuche des Geheimdienstes tatsächlich so intensiv wie behauptet gewesen, auch ohne eigenes Geld einen Weg gefunden hätte, das Land zu verlassen. Aus den eingereichten Berichten zur Lage in der Türkei kann der Beschwerdeführer nichts zu seinen Gunsten ableiten. Die vorgebrachte Verfolgung durch den türkischen Geheimdienst ist nicht glaubhaft.</w:t>
      </w:r>
    </w:p>
    <w:p>
      <w:r>
        <w:rPr>
          <w:b/>
        </w:rPr>
        <w:t>E. 8.5</w:t>
      </w:r>
    </w:p>
    <w:p>
      <w:r>
        <w:t>Zusammenfassend ist festzuhalten, dass es dem Beschwerdeführer nicht gelungen ist, eine im Zeitpunkt seiner Ausreise aus der Türkei bestehende oder drohende, asylrechtlich relevante Gefährdung nachzuweisen oder glaubhaft zu machen.</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10.2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Der Vollzug ist demnach zulässig.</w:t>
      </w:r>
    </w:p>
    <w:p>
      <w:r>
        <w:rPr>
          <w:b/>
        </w:rPr>
        <w:t>E. 10.3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Sodann sind den Akten keine Hinweise zu entnehmen, wonach es dem Beschwerdeführer aufgrund seiner persönlichen Situation nicht zumutbar sein soll, in seinen Heimatstaat zurückzukehren. Beim Beschwerdeführer handelt es sich um einen gut ausgebildeten jungen Mann, der bis zu seiner Ausreise gearbeitet hat. Er verfügt in der Türkei über ein grosses familiäres und soziales Netz. Es ist somit nicht anzunehmen, dass der Beschwerdeführer bei einer Rückkehr in seinen Heimatstaat in eine existenzielle Notlage geraten würde. Auch bestehen keine gesundheitlichen Gründe, die einem Wegweisungsvollzug entgegenstehen könnten. Dem Beschwerdeführer, der psychische Probleme aufgrund des hängigen Asylverfahrens geltend macht, ist es möglich und zumutbar, im Bedarfsfall die in seiner Heimat bestehenden medizinischen Strukturen in Anspruch zu nehmen. Der Vollzug der Wegweisung ist zumutbar.</w:t>
      </w:r>
    </w:p>
    <w:p>
      <w:r>
        <w:rPr>
          <w:b/>
        </w:rPr>
        <w:t>E. 10.4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10.5</w:t>
      </w:r>
    </w:p>
    <w:p>
      <w:r>
        <w:t>Die Vorinstanz hat demnach Wegweisungsvollzugshindernisse zu Recht verneint. Die Anordnung einer vorläufigen Aufnahme fällt ausser Betracht (Art. 83 Abs. 1 - 4 AuG).</w:t>
      </w:r>
    </w:p>
    <w:p>
      <w:r>
        <w:rPr>
          <w:b/>
        </w:rPr>
        <w:t>E. 11</w:t>
      </w:r>
    </w:p>
    <w:p>
      <w:r>
        <w:t>Aus diesen Erwägungen ergibt sich, dass die angefochtene Verfügung Bundesrecht nicht verletzt und auch sonst nicht zu beanstanden ist (Art. 106 Abs. 1 AsylG). Für die Rückweisung der Sache an die Vor­instanz besteht kein Anlass. Die Beschwerde ist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