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E-5352/2015 vom 16. Juni 2017</w:t>
      </w:r>
    </w:p>
    <w:p>
      <w:r>
        <w:t>Bundesverwaltungsgericht, 2017-06-16, DE</w:t>
      </w:r>
    </w:p>
    <w:p>
      <w:r>
        <w:rPr>
          <w:b/>
        </w:rPr>
        <w:t xml:space="preserve">Quelle: </w:t>
      </w:r>
      <w:r>
        <w:t>https://mcp.opencaselaw.ch/entscheid/bvger_E-5352_2015</w:t>
      </w:r>
    </w:p>
    <w:p>
      <w:r>
        <w:t>FR: TAF E-5352/2015 du 16 juin 2017</w:t>
      </w:r>
    </w:p>
    <w:p>
      <w:r>
        <w:t>IT: TAF E-5352/2015 del 16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Über offensichtlich begründete Beschwerden wird in einzelrichterlicher Zuständigkeit mit Zustimmung eines zweiten Richters beziehungsweise einer zweiten Richterin entschieden (Art. 111 Bst. e AsylG). Die vorliegende Beschwerde erweist sich - insbesondere aufgrund der neu ergangenen Rechtsprechung des Bundesverwaltungsgerichts (Urteil D-7853/2015 vom 31. Mai 2017, vorgesehen zur Publikation als Referenzurteil) - im Urteilszeitpunkt als solche, weshalb der Beschwerdeentscheid nur summarisch zu begründen ist (Art. 111a Abs.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Kann kein Mitgliedstaat gemäss den aufgeführten Kriterien bestimmt werden, ist derjenige Staat zuständig, in welchem das erste Asylgesuch gestellt wurde (Art. 3 Abs. 2 Satz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Zur Begründung der angefochtenen Verfügung führte das SEM aus,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Ungarn für die Durchführung des Asylverfahrens (nach Art. 18 Abs. 1 Bst. b Dublin-III-VO) zuständig, zumal der Beschwerdeführer dort gemäss Eurodac am 4. Juli 2015 ein Asylgesuch gestellt habe und die ungarischen Behörden auf das Übernahmeersuchen des SEM nicht reagiert hätten. Es sei nicht Sache der betroffenen Person, den für ihr Asylverfahren wünschbar zuständigen Staat selber zu bestimmen. Ungarn sei Signatarstaat des Abkommens vom 28. Juli 1951 über die Rechtsstellung der Flüchtlinge (FK, SR 0.142.30), der EMRK und des Übereinkommens vom 10. Dezember 1984 gegen Folter und andere grausame, unmenschliche oder erniedrigende Behandlung oder Strafe (FoK, SR 0.105). Es lägen keine konkreten Anhaltspunkte vor, wonach das Land sich nicht an seine völkerrechtlichen Verpflichtungen (insb. das Non-Refoulement-Gebot) halte und das Asyl- und Wegweisungsverfahren nicht korrekt durchführen würde. Ferner lägen keine vorab humanitären Gründe gemäss Art. 29a Abs. 3 AsylVO1 i.V.m. Art. 17 Abs. 1 Dublin-III-VO (Souveränitätsklausel) vor, die einen Selbsteintritt der Schweiz rechtfertigten. Die Wegweisung stelle die Regelfolge des Nichteintretensentscheides dar und der Wegweisungsvollzug sei zulässig, zumutbar und möglich. Die im Rahmen des rechtlichen Gehörs vom Beschwerdeführer gemachten Einwände begründeten keine andere Sichtweise. Eine konkrete Gefährdung aufgrund der Mängel des Asylverfahrens und der Aufnahmebedingungen in Ungarn sei nicht ersichtlich.</w:t>
      </w:r>
    </w:p>
    <w:p>
      <w:r>
        <w:rPr>
          <w:b/>
        </w:rPr>
        <w:t>E. 4.2</w:t>
      </w:r>
    </w:p>
    <w:p>
      <w:r>
        <w:t>In seiner Rechtsmitteleingabe bekräftigt der Beschwerdeführer, dass er in Ungarn nach zwölf Stunden Nahrungs- und Flüssigkeitsverweigerung zur Abgabe seiner Fingerabdrücke gezwungen worden sei, er mangels Anwesenheit eines Übersetzers kein Asylgesuch habe stellen können und er zum Verlassen des Landes innert drei Tagen aufgefordert worden sei. Ein Selbsteintritt der Schweiz sei in seinem Fall nicht nur angemessen, sondern unter dem humanitären Aspekt erforderlich. Asylsuchende seien in Ungarn unmenschlicher und erniedrigender Behandlung, insbesondere rechtswidriger Inhaftierung, Misshandlungen in Haft und der Gefahr von Kettenabschiebungen ausgesetzt. Das dortige Asylverfahren und die Aufnahmebedingungen seien gemäss verschiedenen Berichten von systemischen Mängeln geprägt; die Asylgesuche von Dublin-Rückkehrenden würden von den überforderten Behörden kaum fair und fristgerecht behandelt und die Asylheime seien überfüllt. Seit einer am 1. August 2015 in Kraft getretenen und im Widerspruch zu internationalen Verpflichtungen stehenden Gesetzesänderung würden Asylgesuche in einem Schnellverfahren und ohne eingehende individuelle Prüfung abgewiesen. Zudem habe Ungarn Serbien, aus welchem Land er nach Ungarn gelangt sei, neu als sicheres Drittland eingestuft, was vom UNHCR, Amnesty International und Human Rights Watch scharf kritisiert werde. Es dürfe somit entgegen der Auffassung des SEM keinesfalls davon ausgegangen werden, Ungarn komme seinen völkerrechtlichen Verpflichtungen grundsätzlich nach.</w:t>
      </w:r>
    </w:p>
    <w:p>
      <w:r>
        <w:rPr>
          <w:b/>
        </w:rPr>
        <w:t>E. 4.3</w:t>
      </w:r>
    </w:p>
    <w:p>
      <w:r>
        <w:t>In der Vernehmlassung sowie der Replik halten sowohl die Vorinstanz als auch der Beschwerdeführer im Ergebnis an ihren Standpunkten fest, wobei betreffend ihre detaillierten Ausführungen auf die Akten zu verweisen ist.</w:t>
      </w:r>
    </w:p>
    <w:p>
      <w:r>
        <w:rPr>
          <w:b/>
        </w:rPr>
        <w:t>E. 5.1</w:t>
      </w:r>
    </w:p>
    <w:p>
      <w:r>
        <w:t>Ein Abgleich der Fingerabdrücke des Beschwerdeführers mit der "Eurodac"-Datenbank ergab, dass dieser am 4. Juli 2015 in Ungarn ein Asylgesuch eingereicht hatte. Die ungarischen Behörden liessen das Übernahmeersuchen des SEM innert der in Art. 25 Dublin-III-VO vorgesehenen Frist unbeantwortet, womit sie die Zuständigkeit Ungarns implizit anerkannten (Art. 25 Abs. 2 Dublin-III-VO). Dies wird vom Beschwerdeführer auch nicht grundsätzlich bestritten, zumal der Beschwerdeinhalt substanziell auf die Geltendmachung eines Selbsteintritts beschränkt ist. Die Zuständigkeit Ungarns wäre somit insoweit gegeben.</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 Das Bundesverwaltungsgericht hat im bereits erwähnten Urteil D-7853/2015 vom 31. Mai 2017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 E. 13 des Urteils). Mit derselben Begründung ist es dem Gericht auch im vorliegenden Fall nicht möglich, die Vorbringen in der Beschwerde zu beurteilen. Die angefochtene Verfügung ist folglich aufzuheben und die Sache zur vollständigen Sachverhaltsfeststellung sowie zu neuer Entscheidung an die Vorinstanz zurückzuweisen. Die Beschwerdeakten bilden dabei ebenfalls Prozessstoff des wieder aufzunehmenden vorinstanzlichen Verfahrens. Die Beschwerde ist daher hinsichtlich des Kassationsantrages gutzuheissen. Es erübrigt sich, auf die weiteren Inhalte der Beschwerde, Vernehmlassung oder Replik näher einzugehen.</w:t>
      </w:r>
    </w:p>
    <w:p>
      <w:r>
        <w:rPr>
          <w:b/>
        </w:rPr>
        <w:t>E. 6</w:t>
      </w:r>
    </w:p>
    <w:p>
      <w:r>
        <w:t>Bei diesem Ausgang des Verfahrens sind keine Kosten zu erheben (Art. 63 Abs. 1 und 2 sowie Art. 65 Abs. 1 VwVG). Dem Beschwerdeführer wäre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Solche Kosten sind jedoch weder ersichtlich noch wird eine Parteientschädigung vom (nicht rechtsvertretenen) Beschwerdeführer geltend gemacht. Es ist daher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