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E-5348/2017 vom 28. März 2019</w:t>
      </w:r>
    </w:p>
    <w:p>
      <w:r>
        <w:t>Bundesverwaltungsgericht, 2019-03-28, DE</w:t>
      </w:r>
    </w:p>
    <w:p>
      <w:r>
        <w:rPr>
          <w:b/>
        </w:rPr>
        <w:t xml:space="preserve">Quelle: </w:t>
      </w:r>
      <w:r>
        <w:t>https://mcp.opencaselaw.ch/entscheid/bvger_E-5348_2017</w:t>
      </w:r>
    </w:p>
    <w:p>
      <w:r>
        <w:t>FR: TAF E-5348/2017 du 28 mars 2019</w:t>
      </w:r>
    </w:p>
    <w:p>
      <w:r>
        <w:t>IT: TAF E-5348/2017 del 28 marzo 2019</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Ausländerrecht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Dass der Beschwerdeführerin die unentgeltliche Rechtspflege (Art. 65 Abs. 1 VwVG) gewährt wurde (vgl. oben Sachverhalt Bst. E),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aber der Urteilszeitpunkt massgebend, während für die Beurteilung der Aussichtslosigkeit der Beschwerdebegehren auf den Zeitpunkt der Beschwerdeerhebung abzustellen ist (vgl. BGE 133 III 614 E. 5). Insofern ist nicht ausgeschlossen, dass eine als nicht aussichtslos zu beurteilende Beschwerde - wie hier - als offensichtlich unbegründet abgewiesen wird.</w:t>
      </w:r>
    </w:p>
    <w:p>
      <w:r>
        <w:rPr>
          <w:b/>
        </w:rPr>
        <w:t>E. 5.1</w:t>
      </w:r>
    </w:p>
    <w:p>
      <w:r>
        <w:t>Die Beschwerde richtet sich lediglich gegen den angeordneten Wegweisungsvollzug (Dispositivziffern 4 und 5 der angefochtenen Verfügung des SEM vom 18. August 2017). Demnach ist die vorinstanzliche Verfügung in Rechtskraft erwachsen, soweit sie die Fragen der Flüchtlingseigenschaft und des Asyls betrifft (Dispositivziffern 1 und 2). Praxisgemäss ist somit auch die Wegweisung als solche (Dispositivziffer 3) grundsätzlich nicht mehr zu überprüfen. Gegenstand des vorliegenden Beschwerdeverfahrens bildet demnach die Frage, ob das SEM den Wegweisungsvollzug zu Recht als durchführbar erachtet hat oder ob allenfalls anstelle des Vollzugs eine vorläufige Aufnahme anzuordnen ist.</w:t>
      </w:r>
    </w:p>
    <w:p>
      <w:r>
        <w:rPr>
          <w:b/>
        </w:rPr>
        <w:t>E. 5.2</w:t>
      </w:r>
    </w:p>
    <w:p>
      <w:r>
        <w:t>Hinsichtlich der Wegweisung ist ergänzend festzuhalten, dass das vorliegend geltend gemachte hängige Ehevorbereitungsverfahren gemäss Praxis keinen Anspruch auf Verbleib in der Schweiz zu begründen vermag (vgl. u.a. Urteil des BVGer E-3422/2018 vom 27. Juni 2018 E. 7.3, m.w.H.). Die Beschwerdeführerin legt weder den asylrechtlichen Status ihres Verlobten dar noch macht sie Ausführungen darüber, ob es sich um eine tatsächliche, gelebte und gefestigte Beziehung handelt. Die Meldung der Heiratspläne erfolgte erst im Oktober 2018. Während der Anhörungen im Februar 2016 und Juli 2017 sowie in der Beschwerdeschrift vom September 2017 erwähnte die Beschwerdeführerin ihren Partner nicht. Da die beiden gemäss ZEMIS-Register auch nicht über die gleiche Wohnadresse verfügen, kann nicht von einem gemeinsamen Haushalt respektive einer dauerhaften und gefestigten, mithin eheähnlichen Beziehung ausgegangen werden (vgl. Urteil des BVGer D-1869/2017 vom 6. August 2018 E. 5.4-5.6). Zum aktuellen Zeitpunkt kann die Beschwerdeführerin folglich keine Ansprüche aus der geltend gemachten Beziehung respektive dem laufenden Ehevorbereitungsverfahren ableiten.</w:t>
      </w:r>
    </w:p>
    <w:p>
      <w:r>
        <w:rPr>
          <w:b/>
        </w:rPr>
        <w:t>E. 6</w:t>
      </w:r>
    </w:p>
    <w:p>
      <w:r>
        <w:t>Die Beschwerdeführerin vertritt in der Beschwerde die Auffassung, der Wegweisungsvollzug sei angesichts der ihr aufgrund ihres Alters drohenden Einziehung in den eritreischen Nationaldienst und einer damit verbundenen Verletzung von Art. 3 und Art. 4 Abs. 2 EMRK als unzulässig und unzumutbar zu qualifizieren (vgl. oben Sachverhalt Bst. D).</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6.2.2</w:t>
      </w:r>
    </w:p>
    <w:p>
      <w:r>
        <w:t>Die Frage der Zulässigkeit des Wegweisungsvollzugs bei anstehender Einziehung in den eritreischen Nationaldienst ist vom Bundesverwaltungsgericht in einem jüngst ergangenen Grundsatzurteil geklärt worden (vgl. Grundsatzurteil des BVGer E-5022/2017 vom 10. Juli 2018 [zur Publikation vorgesehen]).</w:t>
      </w:r>
    </w:p>
    <w:p>
      <w:r>
        <w:rPr>
          <w:b/>
        </w:rPr>
        <w:t>E. 6.2.3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Grundsatzurteil E-5022/2017 E. 6.1). Es kann auf die Ausführungen im genannten Urteil verwiesen werden.</w:t>
      </w:r>
    </w:p>
    <w:p>
      <w:r>
        <w:rPr>
          <w:b/>
        </w:rPr>
        <w:t>E. 6.2.4</w:t>
      </w:r>
    </w:p>
    <w:p>
      <w:r>
        <w:t>Aus den Akten ergeben sich keine weiteren Gründe für die Annahme der Unzulässigkeit des Wegweisungsvollzugs. Der Wegweisungsvollzug ist folglich als zulässig zu betrachten.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Die drohende Einziehung in den eritreischen Nationaldienst führt mangels einer hinreichend konkreten Gefährdung auch nicht generell zur Feststellung der Unzumutbarkeit des Wegweisungsvollzugs gemäss Art. 83 Abs. 4 AIG (vgl. Grundsatzurteil E-5022/2017 E. 6.2).</w:t>
      </w:r>
    </w:p>
    <w:p>
      <w:r>
        <w:rPr>
          <w:b/>
        </w:rPr>
        <w:t>E. 6.3.2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6.3.3</w:t>
      </w:r>
    </w:p>
    <w:p>
      <w:r>
        <w:t>Wie die Vorinstanz zutreffend festgestellt hat (vgl. angefochtene Verfügung S. 5), handelt es sich bei der Beschwerdeführerin um eine junge und gesunde Frau, mit einer Schulbildung bis zur (...) Klasse. In ihrer Heimat verfügt sie mit ihrer Mutter, ihren Geschwistern und weiteren Verwandten über ein tragfähiges familiäres Beziehungsnetz sowie eine gesicherte Wohnsituation. Finanzielle Unterstützung erhalte die Familie zudem von einem Onkel, der in E._______ ein Geschäft besitze. Somit ist davon auszugehen, dass die Beschwerdeführerin bei Bedarf von ihrer Familie (erneut) unterstützt werden wird. Folglich sind keine Hinweise ersichtlich, wonach sie bei einer Rückkehr in eine existenzielle Notlage geraten könnte. Nach dem Gesagten erweist sich der Vollzug der Wegweisung auch als zumutbar.</w:t>
      </w:r>
    </w:p>
    <w:p>
      <w:r>
        <w:rPr>
          <w:b/>
        </w:rPr>
        <w:t>E. 6.4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Indessen wurde mit Zwischenverfügung vom 27. September 2017 das Gesuch um Gewährung der unentgeltlichen Prozessführung gemäss Art. 65 Abs. 1 VwVG gutgeheissen. Demnach sind keine Verfahrenskosten zu erheben.</w:t>
      </w:r>
    </w:p>
    <w:p>
      <w:r>
        <w:rPr>
          <w:b/>
        </w:rPr>
        <w:t>E. 8.2</w:t>
      </w:r>
    </w:p>
    <w:p>
      <w:r>
        <w:t>Mit derselben Zwischenverfügung wurde der Antrag auf amtliche Rechtsverbeiständung gutgeheissen. Die amtliche Rechtsbeiständin reichte keine Kostennote ein. Aufgrund der Akten lässt sich der Parteiaufwand hinreichend zuverlässig abschätzen (Art. 14 Abs. 2 in fine VKGE). Gestützt auf die in Betracht zu ziehenden Bemessungsfaktoren (Art. 9-13 VGKE) ist der amtlichen Rechtsbeiständin der Beschwerdeführerin zulasten des Bundesverwaltungsgerichts ein amtliches Honorar von insgesamt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