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E-5345/2016 vom 18. Oktober 2016</w:t>
      </w:r>
    </w:p>
    <w:p>
      <w:r>
        <w:t>Bundesverwaltungsgericht, 2016-10-18, DE</w:t>
      </w:r>
    </w:p>
    <w:p>
      <w:r>
        <w:rPr>
          <w:b/>
        </w:rPr>
        <w:t xml:space="preserve">Quelle: </w:t>
      </w:r>
      <w:r>
        <w:t>https://mcp.opencaselaw.ch/entscheid/bvger_E-5345_2016</w:t>
      </w:r>
    </w:p>
    <w:p>
      <w:r>
        <w:t>FR: TAF E-5345/2016 du 18 octobre 2016</w:t>
      </w:r>
    </w:p>
    <w:p>
      <w:r>
        <w:t>IT: TAF E-5345/2016 del 18 ottobre 2016</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51 AsylG, mit der Marginalie "Familienasyl", werden Ehegatten von Flüchtlingen und ihre minderjährigen Kinder als Flüchtlinge anerkannt und erhalten Asyl, wenn keine besonderen Umstände dagegen sprechen (Abs. 1; Abs. 1bis betrifft Anhaltspunkte für einen Eheungültigkeitsgrund; Abs. 2 ist aufgehoben).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(vgl. BVGE 2012/32 E. 5).</w:t>
      </w:r>
    </w:p>
    <w:p>
      <w:r>
        <w:rPr>
          <w:b/>
        </w:rPr>
        <w:t>E. 3.2</w:t>
      </w:r>
    </w:p>
    <w:p>
      <w:r>
        <w:t>Wer um die Erteilung einer Einreisebewilligung zum Zweck des Familienasyls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Botschaft des Bundesrates vom 4. Dezember 1995 zur Totalrevision des Asylgesetzes sowie zur Änderung des Bundesgesetzes über Aufenthalt und Niederlassung der Ausländer, BBl 1996 II 70).</w:t>
      </w:r>
    </w:p>
    <w:p>
      <w:r>
        <w:rPr>
          <w:b/>
        </w:rPr>
        <w:t>E. 4</w:t>
      </w:r>
    </w:p>
    <w:p>
      <w:r>
        <w:t>Die Schlussfolgerungen der Vorinstanz sind weder in tatsächlicher, noch in rechtlicher Hinsicht zu beanstanden. Die Beschwerde zeigt nicht auf, inwiefern die vorinstanzliche Beweiswürdigung Bundesrecht verletzt oder zu einer rechtsfehlerhaften Sachverhaltsfeststellung führen soll. Solches ist auch nicht ersichtlich. So erkennt die Vorinstanz zutreffend, dass die Tatbestandsvoraussetzung von Art. 51 Abs. 4 AsylG - "durch die Flucht getrennt" - nicht erfüllt ist. Die Trennung der Gemeinschaft muss aufgrund der Fluchtumstände sowie unfreiwillig erfolgt sein, was vorliegend nicht der Fall ist (BVGE 2012/32 E. 5.4.2, mit Verweisen). Was die Beschwerdeführerin hiergegen einwendet, ist nicht stichhaltig. So bestätigt die Beschwerde selbst, dass die Beschwerdeführerin gemeinsam mit ihren beiden Kindern C._______ und D._______ aus Eritrea in den Sudan ausgereist ist, wo sie ein drittes Kind bekam und ihre beiden anderen Kinder in die Obhut ihrer Schwester gab, bevor sie - nach fünf Jahren Aufenthalt im Sudan - mit ihrem jüngsten Kind in die Schweiz reiste (Beschwerde S. 3 und SEM-Akten, A16, S. 11 und S. 13 sowie SEM-Akten B1, S. 2). Zudem vermag die auf Beschwerdeebene zitierte Rechtsprechung an der fehlenden Tatbestandsvoraussetzung nichts zu ändern, sondern bestätigt vielmehr, dass nur dann die Einreise zu bewilligen ist, wenn die Trennung durch die Fluchtumstände stattgefunden hat (Beschwerde S. 4 zitiertes Urteil des BVGer E-6921/2014 vom 27. Januar 2015 E. 4.2 [nicht E. 4.4.2]). Auch die Beschwerdeausführungen zum Wohle des Kindes (insbesondere Art. 3 Abs. 2 Übereinkommen über die Rechte des Kindes [SR 0.107, KRK]) vermögen am Fehlen der zwingenden Voraussetzung der Trennung durch die Flucht nichts zu ändern. In Zusammenhang mit Gesuchen um Familiennachzug gemäss Art. 51 Abs. 4 AsylG kann das Wohl des Kindes nämlich höchstens dann relevant sein, wenn die zwingende Grundvoraussetzung für einen Familiennachzug erfüllt wäre, was aber vorliegend nicht der Fall ist (Urteil des BVGer D-2045/2011 vom 19. April 2011 E. 4.2). Um Wiederholungen zu vermeiden, ist auf die Ausführungen der Vorinstanz zu verweisen, die zu Recht nicht auf die KRK eingegangen ist und die folgerichtig die Erteilung der Einreisebewilligungen verweigert sowie das Gesuch um Einbeziehung in die Flüchtlingseigenschaft abgelehnt hat.</w:t>
      </w:r>
    </w:p>
    <w:p>
      <w:r>
        <w:rPr>
          <w:b/>
        </w:rPr>
        <w:t>E. 5</w:t>
      </w:r>
    </w:p>
    <w:p>
      <w:r>
        <w:t>Folglich ist festzustellen, dass die angefochtene Verfügung Bundesrecht nicht verletzt und auch sonst nicht zu beanstanden ist. Die Beschwerde ist abzuweisen. Mit vorliegendem Urteil wurde dem Antrag auf prioritäre Behandlung Rechnung getragen, womit er gegenstandslos geworden ist.</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