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E-5337/2006 vom 17. Juli 2007</w:t>
      </w:r>
    </w:p>
    <w:p>
      <w:r>
        <w:t>Bundesverwaltungsgericht, 2007-07-17, DE</w:t>
      </w:r>
    </w:p>
    <w:p>
      <w:r>
        <w:rPr>
          <w:b/>
        </w:rPr>
        <w:t xml:space="preserve">Quelle: </w:t>
      </w:r>
      <w:r>
        <w:t>https://mcp.opencaselaw.ch/entscheid/bvger_E-5337_2006</w:t>
      </w:r>
    </w:p>
    <w:p>
      <w:r>
        <w:t>FR: TAF E-5337/2006 du 17 juillet 2007</w:t>
      </w:r>
    </w:p>
    <w:p>
      <w:r>
        <w:t>IT: TAF E-5337/2006 del 17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einzutreten.</w:t>
      </w:r>
    </w:p>
    <w:p>
      <w:r>
        <w:rPr>
          <w:b/>
        </w:rPr>
        <w:t>E. 3</w:t>
      </w:r>
    </w:p>
    <w:p>
      <w:r>
        <w:t>Die vorliegende Beschwerde richtet sich gegen die Ziffern 3 bis 5 des Dispositivs der angefochtenen Verfügung des BFM. Die Ziffern 1 und 2 des Dispositivs der Verfügung (betreffend Flüchtlingseigenschaft und Asylgewährung) sind somit in Rechtskraft erwachsen. Im Folgenden ist daher zu prüfen, ob die Vorinstanz die Wegweisung und den Vollzug der Wegweisung zu Recht angeordnet hat.</w:t>
      </w:r>
    </w:p>
    <w:p>
      <w:r>
        <w:rPr>
          <w:b/>
        </w:rPr>
        <w:t>E. 4</w:t>
      </w:r>
    </w:p>
    <w:p>
      <w:r>
        <w:t>Lehnt das Bundesamt das Asylgesuch ab oder tritt es darauf nicht ein, so verfügt es in der Regel die Wegweisung aus der Schweiz und ordnet den Vollzug an; dabei ist der Grundsatz der Einheit der Familie zu berücksichtigen. Der Beschwerdeführer verfügt weder über eine fremdenpolizeiliche Aufenthaltsbewilligung noch einen Anspruch auf Erteilung einer solchen. Die Wegweisung wurde demnach zu Recht angeordnet (Art. 44 Abs. 1 AsylG).</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5.5</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die weiterhin geltende Praxis der ehemaligen ARK in Entscheidungen und Mitteilungen der Schweizerischen Asylrekurskommission / EMARK 2001 Nr. 1 E.6a S. 2, 2006 Nr. 6 E. 4.2. S. 54 f.).</w:t>
      </w:r>
    </w:p>
    <w:p>
      <w:r>
        <w:rPr>
          <w:b/>
        </w:rPr>
        <w:t>E. 5.6</w:t>
      </w:r>
    </w:p>
    <w:p>
      <w:r>
        <w:t>Weil sich vorliegend der Vollzug der Wegweisung - aus den nachfolgend aufgezeigten Gründen - als unzumutbar erweist, ist auf eine Erörterung der beiden andern Kriterien - insbesondere der Zulässigkeit des Wegweisungsvollzuges - zu verzichten.</w:t>
      </w:r>
    </w:p>
    <w:p>
      <w:r>
        <w:rPr>
          <w:b/>
        </w:rPr>
        <w:t>E. 5.7</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möglichen medizinischen Behandlung, angenommen werden (vgl. Botschaft zum Bundesbeschluss über das Asylverfahren vom 22. Juni 1990, BBl 1990 II 668).</w:t>
      </w:r>
    </w:p>
    <w:p>
      <w:r>
        <w:rPr>
          <w:b/>
        </w:rPr>
        <w:t>E. 5.7.1</w:t>
      </w:r>
    </w:p>
    <w:p>
      <w:r>
        <w:t>Die ARK hat sich in EMARK 2003 Nr. 10 und 30 eingehend zur Lage in Kabul geäussert und die Unterschiede zwischen der Stadt Kabul und anderen Regionen Afghanistans dargestellt. Infolge der vergleichsweise günstigeren Situation hat sie den Wegweisungsvollzug nach Kabul unter bestimmten strengen Voraussetzungen, insbesondere einem tragfähigen Beziehungsnetz und einer gesicherten Wohnsituation, als zumutbar erachtet. Die ARK kam in ihrem publizierten Urteil vom 25. November 2003 (EMARK 2003 Nr. 30) gestützt auf eine eingehende Analyse zum Schluss, dass eine Rückkehr in die Provinz Ghazni als existenzbedrohend und damit als unzumutbar zu qualifizieren sei. In ihrem Urteil vom 24. Januar 2006 (EMARK 2006 Nr. 9) bestätigte und ergänzte die ARK ihre Rechtssprechung aus dem Jahr 2003. Zusätzlich zu Kabul erachtete sie den Wegweisungsvollzug in jene Regionen Afghanistans als grundsätzlich zumutbar, in welchen seit dem Jahre 2004 keine signifikanten militärischen Aktivitäten stattgefunden haben oder die keiner dauernden Unsicherheit ausgesetzt sind. Diese Voraussetzungen sind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In den östlichen, südlichen und südöstlichen Provinzen hingegen besteht - gestützt auf EMARK 2006 Nr. 9 - weiterhin eine allgemeine Gewaltsituation, weshalb der Wegweisungsvollzug dorthin nach wie vor als unzumutbar zu betrachten ist.</w:t>
      </w:r>
    </w:p>
    <w:p>
      <w:r>
        <w:rPr>
          <w:b/>
        </w:rPr>
        <w:t>E. 5.7.2</w:t>
      </w:r>
    </w:p>
    <w:p>
      <w:r>
        <w:t>Der Beschwerdeführer ist unbestrittenermassen Angehöriger der Ethnie der Hazara und gilt als aus dem Distrikt Djaghuri der Provinz Ghazni stammend, wo er bis ins Jahre 2003 gelebt hat. Dieser - westliche - Teil der Provinz Ghazni gehört zum Hazarajat (vgl. EMARK 2003 Nr. 30 E. 7a S. 193). Dahin erachtet die ARK - wie sich aus den vorangehenden Erwägungen ergibt - den Vollzug der Wegweisung als unzumutbar, andererseits ergibt sich aus EMARK 2006 Nr. 9, dass die ARK einen generellen Wegweisungsvollzug in das Hazarajat bewusst ausschloss, zumal sie festhielt, dass der Wegweisungsvollzug in die Region Samangan nur unter Ausschluss derjenigen Gebiete, welche zum Hazarajat gehören, als generell zumutbar erachtet würde (EMARK 2006 Nr. 9 E. 7.8 S. 102). Das Bundesverwaltungsgericht sieht keinen Grund zu einer Änderung oder Präzisierung der in EMARK 2006 Nr. 9 veröffentlichten und sich auf die frühere Praxis stützenden Einschätzung der Lage in Afghanistan. Die bisherige, in EMARK 2003 Nr. 10 und 30 sowie EMARK 2006 Nr. 9 festgelegte Praxis hat folglich auch im heutigen Zeitpunkt noch Gültigkeit. Demnach ist die Frage, wie sich die familiäre Situation des Beschwerdeführers innerhalb des heimatlichen Gebietes gestaltet und ob die diesbezüglichen Schilderungen des Beschwerdeführers als glaubhaft zu werten sind, im Rahmen des vorliegenden Streitgegenstandes nicht entscheidwesentlich.</w:t>
      </w:r>
    </w:p>
    <w:p>
      <w:r>
        <w:rPr>
          <w:b/>
        </w:rPr>
        <w:t>E. 5.7.3</w:t>
      </w:r>
    </w:p>
    <w:p>
      <w:r>
        <w:t>Zu prüfen bleibt, ob dem Beschwerdeführer allenfalls eine Aufenthaltsalternative in einem anderen Landesteil Afghanistans zur Verfügung steht. Die Anerkennung einer zumutbaren innerstaatlichen Aufenthaltsalternative eines aus dem Hazarajat stammenden Asylsuchenden etwa nach Kabul - wo die allgemeine Situation als relativ stabil zu bezeichnen ist (vgl. EMARK 2003 Nr. 10 E. 10b S. 66 ff.) - setzt insbesondere die Existenz eines tragfähigen Familien- oder Beziehungsnetzes sowie eine gesicherte Wohnsituation in dieser Stadt voraus; mithin ist bei der Beurteilung der individuellen Zumutbarkeitskriterien eine differenzierte Beurteilung angezeigt (vgl. EMARK 2003 Nr. 30 E. 7b S. 193 f.). Diesen von der geltenden Rechtssprechung geforderten hohen konkreten persönlichen Anforderungen kann die Einschätzung der Vorinstanz in deren Vernehmlassung zur generellen Situation der Hazara in Kabul, die grundsätzlich zutreffen mag, bezüglich der individuellen Voraussetzungen des Beschwerdeführers nicht genügen. In konkret persönlicher Hinsicht vermag der Umstand allein, dass sich ein Onkel des Beschwerdeführers in den letzten Jahren zeitweise in Kabul aufgehalten hat und dadurch über beziehungsmässige Anknüpfungspunkte verfügt, die Annahme einer gesicherten Wohnsituation des Beschwerdeführers und einer persönlichen Einbindung in ein künftiges genügend tragfähiges Beziehungsnetz nicht hinreichend zu stützen. Mithin fehlen ihm die entscheidenden Zumutbarkeitsfaktoren, um sich in Kabul - oder einem anderen Gebiet seines Heimatlandes - eine Existenzgrundlage aufbauen beziehungsweise sichern zu können.</w:t>
      </w:r>
    </w:p>
    <w:p>
      <w:r>
        <w:rPr>
          <w:b/>
        </w:rPr>
        <w:t>E. 5.8</w:t>
      </w:r>
    </w:p>
    <w:p>
      <w:r>
        <w:t>Angesichts der gesamten Umstände ist der Vollzug der Wegweisung - der Praxis dar ARK, welche in diesem Punkt auch für das Bundesverwaltungsgericht weiterhin Gültigkeit erlangt, entsprechend - als unzumutbar zu bezeichnen. Die Voraussetzungen für die Gewährung der vorläufigen Aufnahme sind demnach erfüllt. Einer vorläufigen Aufnahme stehen im Übrigen auch keine einschränkenden gesetzlichen Tatbestände (Art. 14 Abs. 6 ANAG) entgegen.</w:t>
      </w:r>
    </w:p>
    <w:p>
      <w:r>
        <w:rPr>
          <w:b/>
        </w:rPr>
        <w:t>E. 5.9</w:t>
      </w:r>
    </w:p>
    <w:p>
      <w:r>
        <w:t>Die Beschwerde ist bezüglich der Ziffern 4 und 5 des Dispositivs der angefochtenen Verfügung gutzuheissen. Die Ziffern 4 und 5 des Dispositivs der Verfügung des Bundesamtes sind aufzuheben und das Bundesamt ist anzuweisen, den Beschwerdeführer vorläufig aufzunehmen (vgl. Art. 44 Abs. 2 AsylG und Art. 14a Abs. 1 und 4 ANAG). Soweit die Aufhebung der Ziffer 3 des Dispositivs der angefochtenen Verfügung beantragt wird, ist die Beschwerde abzuweisen.</w:t>
      </w:r>
    </w:p>
    <w:p>
      <w:r>
        <w:rPr>
          <w:b/>
        </w:rPr>
        <w:t>E. 6</w:t>
      </w:r>
    </w:p>
    <w:p>
      <w:r>
        <w:t>Bei diesem Ausgang des Verfahrens sind keine Kosten zu erheben (Art. 63 Abs. 1 VwVG).</w:t>
      </w:r>
    </w:p>
    <w:p>
      <w:r>
        <w:rPr>
          <w:b/>
        </w:rPr>
        <w:t>E. 7</w:t>
      </w:r>
    </w:p>
    <w:p>
      <w:r>
        <w:t>Gemäss Art. 7 Abs. 1 des Reglements über die Kosten und Entschädigungen vor dem Bundesverwaltungsgericht vom 11. Dezember 2006 (VGKE, SR 173.320.2) haben obsiegende Parteien Anspruch auf eine Parteientschädigung für die ihnen erwachsenen notwendigen Kosten.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Der Beschwerdeführer hat keine Kostennote zu den Akten gereicht. Vorliegend kann der notwendige Aufwand aufgrund der Akten hinreichend zuverlässig abgeschätzt werden und eine Parteientschädigung im Betrage von insgesamt Fr. 1000.-- (inkl. Auslagen und Mehrwertsteuer) erscheint als angemessen. Das BFM ist anzuweisen, dem Beschwerdeführer für das Verfahren vor dem Bundesverwaltungsgericht die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