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E-5335/2013 vom 19. November 2013</w:t>
      </w:r>
    </w:p>
    <w:p>
      <w:r>
        <w:t>Bundesverwaltungsgericht, 2013-11-19, DE</w:t>
      </w:r>
    </w:p>
    <w:p>
      <w:r>
        <w:rPr>
          <w:b/>
        </w:rPr>
        <w:t xml:space="preserve">Quelle: </w:t>
      </w:r>
      <w:r>
        <w:t>https://mcp.opencaselaw.ch/entscheid/bvger_E-5335_2013</w:t>
      </w:r>
    </w:p>
    <w:p>
      <w:r>
        <w:t>FR: TAF E-5335/2013 du 19 novembre 2013</w:t>
      </w:r>
    </w:p>
    <w:p>
      <w:r>
        <w:t>IT: TAF E-5335/2013 del 19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fristgerechte eingereichte Beschwerde (Art. 108 Abs. 1 AsylG) ist einzutreten.</w:t>
      </w:r>
    </w:p>
    <w:p>
      <w:r>
        <w:rPr>
          <w:b/>
        </w:rPr>
        <w:t>E. 1.2</w:t>
      </w:r>
    </w:p>
    <w:p>
      <w:r>
        <w:t>Soweit der Beschwerdeführer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AsylG gewährt die Schweiz Flüchtlingen auf Gesuch hin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AsylG). Die Flüchtlingseigenschaft muss nachweisen oder zumindest glaubhaft machen, wer um Asyl nachsucht (Art. 7 AsylG).</w:t>
      </w:r>
    </w:p>
    <w:p>
      <w:r>
        <w:rPr>
          <w:b/>
        </w:rPr>
        <w:t>E. 3.2</w:t>
      </w:r>
    </w:p>
    <w:p>
      <w:r>
        <w:t>Die Vorinstanz hat in ihrer Verfügung zutreffend und einlässlich begründet, weshalb die Vorbringen des Beschwerdeführers nicht flüchtlingsrelevant sind. Der Beschwerdeführer wiederholt in der Beschwerde seine Asylgründe. Er zeigt jedoch mit keinem Wort auf, inwiefern die angefochtene Verfügung Bundesrecht verletzen oder auf einer fehlerhaften Sachverhaltsfeststellung beruhen soll. Solches ist auch nicht ersichtlich. Der Beschwerdeführer gibt im Wesentlichen einzig an, er werde von den ägyptischen Behörden gesucht, weil er seinen Onkel erschossen und während seines Aufenthaltes im Kinderheim einen Aufseher auf ein Zugtrassee geschubst habe. Dieser sei dann von einem herannahenden Zug erfasst und getötet worden. Zudem müsste er bei einer Rückkehr auch ins Militär einrücken. Die Vorinstanz hat zutreffend erwogen, dass darin keine staatlichen Verfolgungsmassnahmen zu sehen sind. Es ist asylrechtlich grundsätzlich nicht zu beanstanden, wenn ein Rechtsstaat die Militärpflicht vorsieht und gegen strafrechtliches Handeln vorgeht. Es bestehen keine Anzeichen dafür, dass dem Beschwerdeführer kein korrektes Gerichtsverfahren offen stünde. Der Beschwerdeführer hat damit nichts vorgebracht, was geeignet wäre, die Flüchtlingseigenschaft nachzuweisen oder zumindest glaubhaft zu machen. Die Vorinstanz hat das Asylgesuch zu Recht abgelehnt.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Das Bundesamt hat die Wegweisung zu Recht angeordnet.</w:t>
      </w:r>
    </w:p>
    <w:p>
      <w:r>
        <w:rPr>
          <w:b/>
        </w:rPr>
        <w:t>E. 5.1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5.2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den Heimatstaat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im Heimat- oder Herkunftsstaat auf Grund von Situationen wie Krieg, Bürgerkrieg, allgemeiner Gewalt und medizinischer Notlage konkret gefährdet ist. In Ägypten herrscht keine Situation allgemeiner Gewalt, weshalb in konstanter Praxis von der generellen Zumutbarkeit des Wegweisungsvollzugs dorthin ausgegangen wird (vgl. statt vieler Urteil des Bundesverwaltungsgerichts D-2117/2012 vom 26. April 2012). Der Beschwerdeführer macht gesundheitliche Probleme geltend, er habe psychische Probleme und leide an einer Hautkrankheit. Der eingereichten Bescheinigung ist lediglich zu entnehmen, dass "eine chronischen Hautkrankheit bestehe, die mindestens sechs Monate zur Ausheilung benötige". Damit ist jedoch nicht dargetan, inwiefern sich der Vollzug aufgrund seiner gesundheitlichen Beschwerden als unzumutbar erweisen würde, was sich auch nicht annehmen lässt. Der Beschwerdeführer verfügt gemäss eigenen Angaben über mehrere Jahre Berufserfahrung. Konkrete Anhaltspunkte dafür, dass er bei einer Rückkehr einer Gefährdungssituation ausgesetzt wäre oder aus individuellen Gründen wirtschaftlicher, sozialer oder gesundheitlicher Natur in eine existenzbedrohende Situation geraten würde, liegen demnach keine vor. Der Vollzug der Wegweisung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5.5</w:t>
      </w:r>
    </w:p>
    <w:p>
      <w:r>
        <w:t>Zusammenfassend ist festzuhalten, dass die Vorinstanz den Wegweisungsvollzug zu Recht als zulässig, zumutbar und möglich erachtet.</w:t>
      </w:r>
    </w:p>
    <w:p>
      <w:r>
        <w:rPr>
          <w:b/>
        </w:rPr>
        <w:t>E. 6</w:t>
      </w:r>
    </w:p>
    <w:p>
      <w:r>
        <w:t>Aus diesen Erwägungen ergibt sich, dass die angefochtene Verfügung Bundesrecht nicht verletzt und auch sonst nicht zu beanstanden ist (vgl. Art. 106 AsylG). Die Beschwerde ist abzuweisen.</w:t>
      </w:r>
    </w:p>
    <w:p>
      <w:r>
        <w:rPr>
          <w:b/>
        </w:rPr>
        <w:t>E. 7</w:t>
      </w:r>
    </w:p>
    <w:p>
      <w:r>
        <w:t>Dem Ersuchen des Beschwerdeführers um Gewährung der unentgeltlichen Rechtspflege kann nicht entsprochen werden, weil sein Begehren als aussichtslos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