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E-5333/2020 vom 29. August 2023</w:t>
      </w:r>
    </w:p>
    <w:p>
      <w:r>
        <w:t>Bundesverwaltungsgericht, 2023-08-29, DE</w:t>
      </w:r>
    </w:p>
    <w:p>
      <w:r>
        <w:rPr>
          <w:b/>
        </w:rPr>
        <w:t xml:space="preserve">Quelle: </w:t>
      </w:r>
      <w:r>
        <w:t>https://mcp.opencaselaw.ch/entscheid/bvger_E-5333_2020</w:t>
      </w:r>
    </w:p>
    <w:p>
      <w:r>
        <w:t>FR: TAF E-5333/2020 du 29 août 2023</w:t>
      </w:r>
    </w:p>
    <w:p>
      <w:r>
        <w:t>IT: TAF E-5333/2020 del 29 agosto 2023</w:t>
      </w:r>
    </w:p>
    <w:p>
      <w:pPr>
        <w:pStyle w:val="Heading2"/>
      </w:pPr>
      <w:r>
        <w:t>Regeste</w:t>
      </w:r>
    </w:p>
    <w:p>
      <w:r>
        <w:t>Asyl und Wegweisung</w:t>
      </w:r>
    </w:p>
    <w:p>
      <w:pPr>
        <w:pStyle w:val="Heading2"/>
      </w:pPr>
      <w:r>
        <w:t>Erwägungen</w:t>
      </w:r>
    </w:p>
    <w:p>
      <w:r>
        <w:rPr>
          <w:b/>
        </w:rPr>
        <w:t>E. 1.1</w:t>
      </w:r>
    </w:p>
    <w:p>
      <w:r>
        <w:t>Am 1. März 2019 ist eine Teilrevision (AS 2016 3101) des Asylgesetzes vom 26. Juni 1998 (AsylG, SR 142.31) in Kraft getreten. Für das vorlie- gende Verfahren gilt das bis zu diesem Zeitpunkt gültige Recht (vgl. Abs. 1 der Übergangsbestimmungen zur Änderung des AsylG vom 25. Septem- ber 2015).</w:t>
      </w:r>
    </w:p>
    <w:p>
      <w:r>
        <w:rPr>
          <w:b/>
        </w:rPr>
        <w:t>E. 1.2</w:t>
      </w:r>
    </w:p>
    <w:p>
      <w:r>
        <w:t>Am 1. Januar 2019 wurde das Ausländergesetz vom 16. Dezember 2005 (AuG, SR 142.20) teilrevidiert (AS 2018 3171) und in Ausländer- und Integrationsgesetz (AIG) umbenannt. Die vorliegend anzuwendenden Ge- 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 treten (aArt. 108 Abs. 1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Auf den Antrag, es sei festzustellen, dass die Beschwerde aufschiebende Wirkung habe, ist nicht einzutreten, da die aufschiebende Wirkung der Be- schwerde nicht entzogen wurde (Art. 55 VwVG).</w:t>
      </w:r>
    </w:p>
    <w:p>
      <w:r>
        <w:t>E-5333/2020 Seite 5</w:t>
      </w:r>
    </w:p>
    <w:p>
      <w:r>
        <w:rPr>
          <w:b/>
        </w:rPr>
        <w:t>E. 5.1</w:t>
      </w:r>
    </w:p>
    <w:p>
      <w:r>
        <w:t>Die Vorinstanz kommt in der angefochtenen Verfügung zum Schluss, die Vorbringen des Beschwerdeführers hielten den Anforderungen an das Glaubhaftmachen nicht stand. Einerseits würden sich aufgrund einer Reihe von widersprüchlichen Angaben und Unstimmigkeiten des Beschwerdefüh- rers zu wesentlichen Punkten wie namentlich seinem letzten Wohnsitz, zu seinen Verwandten, zu seinen Eigentumsverhältnissen, zu seiner Arbeits- tätigkeit im Heimatland sowie zur Verhaftung seines Vaters erhebliche Zweifel an seinen Vorbringen ergeben. Zudem würden die Zweifel an der Glaubhaftigkeit seiner Vorbringen dadurch verstärkt, dass er auch keine stimmigen Angaben über seine Reisedokumente machen könne. Anderer- seits seien zentrale Vorbringen, wie namentlich solche zur Verhaftung, den Verhören und deren Folgen sowohl unpräzise und inkonsistent als auch mehrheitlich detailarm, vage, schematisch und emotionslos vorgetragen worden. Es sei entsprechend von einem konstruierten Sachverhalt auszu- gehen.</w:t>
      </w:r>
    </w:p>
    <w:p>
      <w:r>
        <w:rPr>
          <w:b/>
        </w:rPr>
        <w:t>E. 5.2</w:t>
      </w:r>
    </w:p>
    <w:p>
      <w:r>
        <w:t>Dem hält der Beschwerdeführer in der Beschwerde entgegen, die Vorinstanz berufe sich lediglich auf Widersprüche, die sich klären lassen würden oder nicht von Relevanz seien. Entsprechend bestünden keine nicht erklärbaren Ungereimtheiten in Bezug auf seine Aussagen zu seinem letzten Wohnsitz, seinen Verwandten, seinen Eigentumsverhältnissen, sei- ner letzten Arbeitstätigkeit, zur Verhaftung seines Vaters und zu seinen Rei- sedokumenten. Zudem habe er seine Asylgründe plausibel, substanziiert und nachvollziehbar geltend gemacht. Eine Monotonie in den Schilderun- gen lasse sich auf die Vorbereitungshandlungen für die Befragungen zu- rückführen und beruhe auf seinem Umgang mit den traumatisierenden Er- lebnissen. Vielmehr habe die Vorinstanz umfangreichreiche Ausführungen nicht berücksichtigt und namentlich seine Vorbringen zur erlebten sexuel- len Gewalt während seiner Inhaftierung ignoriert.</w:t>
      </w:r>
    </w:p>
    <w:p>
      <w:r>
        <w:rPr>
          <w:b/>
        </w:rPr>
        <w:t>E. 5.3</w:t>
      </w:r>
    </w:p>
    <w:p>
      <w:r>
        <w:t>Die Vorinstanz führt in ihrer Vernehmlassung aus, die Beschwerde- schrift veranlasse zwar zu einer Reihe von Bemerkungen, enthalte aber keine neuen erhebliche Tatsachen oder Beweismittel, die zu einer Ände- rung des Standpunktes führen könnten. Im Besonderen sei entgegen den Vorbringen des Beschwerdeführers die erlebte sexuelle Gewalt in der an- gefochtenen Verfügung abgehandelt worden.</w:t>
      </w:r>
    </w:p>
    <w:p>
      <w:r>
        <w:rPr>
          <w:b/>
        </w:rPr>
        <w:t>E. 5.4</w:t>
      </w:r>
    </w:p>
    <w:p>
      <w:r>
        <w:t>Der Beschwerdeführer hält in seiner Replik an den Vorbringen in der Beschwerdeschrift vollumfänglich fest. Im Besonderen sei bedauerlich,</w:t>
      </w:r>
    </w:p>
    <w:p>
      <w:r>
        <w:t>E-5333/2020 Seite 6 dass die Vorinstanz die Vernehmlassung nicht dazu genutzt habe, auf die erlebte sexuelle Gewalt einzugehen.</w:t>
      </w:r>
    </w:p>
    <w:p>
      <w:r>
        <w:rPr>
          <w:b/>
        </w:rPr>
        <w:t>E. 6.1</w:t>
      </w:r>
    </w:p>
    <w:p>
      <w:r>
        <w:t>In der Beschwerde wird gerügt, die Vorinstanz habe in unzulässiger Weise die erlebte sexuelle Gewalt nicht gebührend abgehandelt. Dadurch habe sie einen für das Asylverfahren des Beschwerdeführers massgebli- chen Aspekt in rechtswidriger Weise nicht in ihre Entscheidfindung mitein- bezogen. Diese formelle Rüge ist vorab zu beurteilen, da sie allenfalls ge- eignet sein könnte, eine Kassation der vorinstanzlichen Verfügung zu be- wirken.</w:t>
      </w:r>
    </w:p>
    <w:p>
      <w:r>
        <w:rPr>
          <w:b/>
        </w:rPr>
        <w:t>E. 6.2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Eng damit zusammen hängt die Pflicht der Behörde, ihren Entscheid zu begründen (Art. 35 Abs. 1 VwVG). Aus der Begründungspflicht als Teilgeh- alt des rechtlichen Gehörs ergibt sich, dass die Abfassung der Begründung den Betroffenen ermöglichen soll, den Entscheid sachgerecht anzufech- ten, was nur der Fall ist, wenn sich sowohl die Betroffenen als auch die Rechtsmittelinstanz über die Tragweite des Entscheides ein Bild machen können. Die Begründungsdichte richtet sich dabei nach dem Verfügungs- gegenstand, den Verfahrensumständen und den Interessen der Betroffe- nen, wobei bei schwerwiegenden Eingriffen in die rechtlich geschützten In- teressen der Betroffenen – und um solche geht es bei Verfahren betreffend Asyl und Wegweisung – eine sorgfältige Begründung verlangt wird (vgl. BVGE 2011/37 E. 5.4.1; BVGE 2008/47 E. 3.2).</w:t>
      </w:r>
    </w:p>
    <w:p>
      <w:r>
        <w:rPr>
          <w:b/>
        </w:rPr>
        <w:t>E. 6.3</w:t>
      </w:r>
    </w:p>
    <w:p>
      <w:r>
        <w:t>Aus den Akten geht hervor, dass die Vorinstanz sich mit den Vorbringen über die erlebte Gewalt während der Haft auseinandergesetzt hat und im Sachverhalt der angefochtenen Verfügung auch explizit die vom Be- schwerdeführer erlebte sexuelle Gewalt benannt wird (vgl. angefochtene Verfügung S. 3). Indessen ist nicht erforderlich, dass die Verfügung in den</w:t>
      </w:r>
    </w:p>
    <w:p>
      <w:r>
        <w:t>E-5333/2020 Seite 7 Erwägungen eine vertiefte Auseinandersetzung mit diesem Vorbringen zu beinhalten hat, sofern wie vorliegend dieses von der Vorinstanz als nicht wesentlich erachtet wurde. Mithin ist eine Verletzung des rechtlichen Ge- hörs beziehungsweise der Begründungspflicht oder anderer Verfahrens- rechte vorliegend nicht erkennbar. Im Übrigen war eine sachgerechte An- fechtung der Verfügung ohne Weiteres auch ohne eine diesbezügliche Be- gründung möglich. Ob die Aussagen als glaubhaft zu erachten sind, betrifft zudem die materielle Frage der rechtlichen Würdigung der Vorbringen, wel- che es nachfolgend – im Rahmen der Glaubhaftigkeitsprüfung (vgl. E. 8.2) – zu beachten gilt.</w:t>
      </w:r>
    </w:p>
    <w:p>
      <w:r>
        <w:rPr>
          <w:b/>
        </w:rPr>
        <w:t>E. 6.4</w:t>
      </w:r>
    </w:p>
    <w:p>
      <w:r>
        <w:t>Eine Rückweisung der Sache an die Vorinstanz zur Neubeurteilung rechtfertigt sich deshalb nicht. Das entsprechende Rechtsbegehren ist ab- 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ei- nem publizierten Entscheid dargelegt und folgt dabei ständiger Praxis. Da- rauf kann hier verwiesen werden (BVGE 2015/3 E. 6.5.1, m.w.H.).</w:t>
      </w:r>
    </w:p>
    <w:p>
      <w:r>
        <w:rPr>
          <w:b/>
        </w:rPr>
        <w:t>E. 7.3</w:t>
      </w:r>
    </w:p>
    <w:p>
      <w:r>
        <w:t>Rechtsprechungsgemäss kommt zwar den Aussagen in der Erstbefra- gung für die Beurteilung der Glaubwürdigkeit nur ein beschränkter Beweis- wert zu (vgl. [statt vieler]: Urteile des BVGer E-3776/2020 E. 6.2 und D-235/2020 vom 25. Mai 2021 E. 5.2.1.2 m.w.H. sowie bereits EMARK</w:t>
      </w:r>
    </w:p>
    <w:p>
      <w:r>
        <w:t>E-5333/2020 Seite 8 1993 Nr. 3). Es darf aber erwartet werden, dass bestimmte Ereignisse oder Befürchtungen, die später als zentrale Asylgründe genannt werden, bereits anlässlich der ersten Befragung zumindest ansatzweise erwähnt werden (vgl. Urteil E-3776/2020 E. 6.2).</w:t>
      </w:r>
    </w:p>
    <w:p>
      <w:r>
        <w:rPr>
          <w:b/>
        </w:rPr>
        <w:t>E. 8.1</w:t>
      </w:r>
    </w:p>
    <w:p>
      <w:r>
        <w:t>Nach Prüfung der Akten durch das Gericht ist in Übereinstimmung mit der Vorinstanz festzustellen, dass die Asylvorbringen des Beschwerdefüh- rers den Anforderungen an das Glaubhaftmachen gemäss Art. 7 AsylG nicht standzuhalten vermögen, weshalb vorab auf die ausführlichen sowie im Wesentlichen zutreffenden Erwägungen der Vorinstanz zu verweisen ist. Die Rechtsmitteleingabe ist auch in materieller Hinsicht nicht geeignet, zu einer anderen Einschätzung zu gelangen, da der Beschwerdeführer le- diglich an der Glaubhaftigkeit der gemachten Aussagen festhält, indem er entweder das bereits bei den Befragungen Dargelegte wiederholt oder Er- klärungen vorbringt, die von der Vorinstanz aufgeführten Ungereimtheiten nicht nachvollziehbar aufzulösen vermögen. Die Schilderungen des Beschwerdeführers bleiben in zentralen Teilen des Sachverhalts ohne die hinreichende Präzision und Substanziiertheit. Vor dem Hintergrund, dass zudem entscheidende Vorbringen weder nachvoll- ziehbar noch plausibel sind und sich – wie nachfolgend gezeigt wird – in sämtlichen elementaren Sachverhaltsbestandteilen wie namentlich der Haft, dem Untertauchen und der Ausreise, Widersprüche finden lassen, kommt das Gericht zum Schluss, dass von einem konstruierten Sachver- halt auszugehen ist. In Ergänzung zur Vorinstanz ist zunächst festzustellen, dass sowohl be- züglich der Ausreise als auch des längeren Untertauchens nach der Ent- lassung aus der Festhaltung gewichtige Ungereimtheiten vorliegen, die ge- gen eine wahrheitsgetreue und glaubhafte Schilderung des Beschwerde- führers sprechen. Der Beschwerdeführer erklärte bezugnehmend auf seine Ausreise aus Sri Lanka anlässlich der ersten Anhörung, dass er am Flug- hafen verhaftet worden sei und aufgrund einer Zahlung seines Schleppers sodann freigesetzt worden sei (SEM-Akten A37 Ergänzung zu F32 S. 21). Diese Aussage steht klar im Widerspruch zu seinen diesbezüglich ersten Aussagen, die er im Rahmen der BzP gemacht hatte. Hierbei hatte er er- klärt, dass er am Flughafen bei der Migration nicht kontrolliert worden sei, da Geld bezahlt worden sei und erwähnte mit keinem Wort eine Verhaftung am Flughafen (SEM-Akten A8 F5.01). Im Hinblick auf die vorgebrachten Suchaktionen sowohl während der Zeit seines Verstecktlebens als auch</w:t>
      </w:r>
    </w:p>
    <w:p>
      <w:r>
        <w:t>E-5333/2020 Seite 9 nach seiner Ausreise ist vorab festzuhalten, dass er das Wissen über diese ausnahmslos aufgrund Informationen Dritter erhalten hat. Vorbringen, die sich lediglich auf Informationen Dritter stützen, vermögen den Anforderun- gen an eine auch objektiv begründete Furcht vor zukünftiger Verfolgung im asylrechtlichen Sinne jedoch nicht zu genügen (vgl. Urteile des BVGer E-801/2015 vom 6. Oktober 2017 E. 3.7 m.w.H., E-4329/2006 vom 17. Ok- tober 2011 E. 4.4). Des Weiteren sind in Bezug auf das Untertauchen des Beschwerdeführers die zentralen Aussagen darüber, wann ihm sein Onkel geraten habe nicht mehr nach Hause zu gehen, in gravierender Weise in- konsistent. Gemäss der ersten Anhörung, riet ihm sein Onkel am Tag der Freilassung davon ab, zuhause zu bleiben. Dem steht entgegen, dass er gemäss seiner zweiten Anhörung seinen Onkel erst gesprochen habe, als er sich in I._______ bei einem Dorfvorsteher versteckt habe (vgl. SEM- Akten A43 F37 und F109 ff.), wobei er aber an diesem Ort gemäss seinen eigenen Schilderungen erst zwei Wochen nach seiner Freilassung sein konnte (vgl. SEM-Akten A37 F114). Selbst unter Beachtung der Aussage, dass sein Onkel mit seinen Eltern telefoniert habe (vgl. SEM-Akten A43 F86 und F111), kann die Ungereimtheit zu seiner ersten Aussage, dass ihm sein Onkel am Tag der Freilassung geraten habe unterzutauchen, nicht be- seitigt werden. Ohnehin erscheinen die Vorbringen in Bezug auf seinen Onkel, der in seinen Schilderungen eine zentrale Rolle einnimmt, nicht glaubhaft. Der Beschwerdeführer konnte in keiner Weise plausibel darle- gen, wie sein Onkel von H._______ aus einerseits derart gut informiert ge- wesen sein soll und andererseits daher zufolge auch seine Freilassung entsprechend zeitnahe organisiert haben konnte. Die diesbezüglichen Aus- sagen vielen äusserst knapp aus und erschöpften sich in wenigen und va- gen Ausführungen (vgl. SEM-Akten A37 F114 und F163 ff. sowie SEM-Ak- ten A43 F27, F37, F83 f. und F108 ff.). Überdies entbehrt es der inneren Kohärenz, dass der Onkel als wohlhabender Miteigentümer des untersuch- ten Grundstückes, der zwar in H._______ lebe, aber dieses gelegentlich besuche, nicht selbst Ziel der Untersuchung geworden war (vgl. SEM-Ak- ten A37 F158 f. und F163 ff. sowie SEM-Akten A43 F15 f.). Im Zusammen- hang mit den vom Beschwerdeführer erklärten Vorfällen während seiner Zeit des Untertauchens kommen weitere beachtliche Zweifel auf, da von ihm nicht überzeugend dargelegt werden konnte, weshalb seine Mutter die Vorladung des TID, die ihr direkt von einem Polizeibeamten ausgehändigt worden sei, nicht an ihn weitergeleitet hat (vgl. SEM-Akten A43 F28–34 und F167). Die Erklärungen, sie habe den Brief nicht ernst genommen (vgl. SEM-Akten A37 F162) oder sie habe nicht gewollt, dass er sich Sorgen mache (vgl. SEM-Akten A43 F167 f.), vermögen nicht zu überzeugen, da sie doch von ihm ausdrücklich beauftragt worden sein soll, Beweismittel zu</w:t>
      </w:r>
    </w:p>
    <w:p>
      <w:r>
        <w:t>E-5333/2020 Seite 10 sammeln und entsprechend auch die drei zu den Akten gelegten Fotos or- ganisiert hatte (vgl. SEM-Akten A37 F148). Der Vorinstanz ist in Bezug auf die Geschehnisse um die Verhaftung darin beizupflichten, dass der Beschwerdeführer den vorgebrachten vierstündi- gen Vorfall der Suche und anschliessenden Verhaftung nicht mit der nöti- gen Substanz wiedergegeben hat. Die Schilderungen zur Verhaftung blei- ben im Ganzen äusserst bescheiden, vage und stereotyp. Trotz mehrmali- ger Aufforderung die Verhaftung detailliert wiederzugeben (vgl. SEM-Akten A37 F144, F152 ff. und F160, vgl. auch SEM-Akten A43 F177 f.) ergibt sich kein substantiiertes Erzählbild. Vielmehr sind die Ausführungen im Wesent- lichen oberflächlich und substanzfrei. Auf die entsprechend explizite Frage, was der Beschwerdeführer in den vier Stunden gemacht habe, antwortete er – bevor er die Vorgehensweise der Waffensuche beschrieb – lediglich, dass er zur Seite des Bauernhofs gebracht worden sei und dort eine lange Zeit neben den Zivilbeamten gestanden habe (vgl. SEM-Akten A37 F152– 154). Unabhängig von der Ungereimtheit, dass der Beschwerdeführer in der ergänzenden Anhörung diesbezüglich erklärte, er sei neben dem Brun- nen auf seinem Grundstück befragt worden (vgl. SEM-Akten A43 F179 f.), ergibt sich auch aus den weiteren im Rahmen dieser Anhörung gemachten Schilderungen kein detaillierteres Bild. So sind die geschilderten Ausfüh- rungen zur Konversation mit den zivilen Beamten äusserst spärlich und unpräzise. Zu Beginn des Vorfalls hätten ihn diese gefragt, wie er heisse, ob er hier arbeite und ob er der Eigentümer des Landes sei (vgl. SEM- Akten A37 F144), später während der Waffensuche hätten sie ihn gefragt, wer der richtige Inhaber des Landstückes sei (vgl. SEM-Akten A37 F160). Auch wenn die Vorinstanz diese zwei Interaktion fälschlicherweise zeitlich gleichsetzt (vgl. angefochtene Verfügung S. 8), so bleibt der Eindruck be- stehen, dass es sich dabei um einen konstruierten Ablauf handelt. Daran ändert auch nichts, dass in der Beschwerde erklärt wird – ohne auf die zwei unterschiedlichen Dialogzeitpunkte einzugehen –, dass sich die Fragen der Beamten ergänzen würden (vgl. Beschwerde Rz. 73). Gemäss der ergän- zenden Anhörung sollen sodann noch weitere solche Fragen gestellt wor- den sein (SEM-Akten A43 F178). Was aber der Inhalt dieser weiteren Fra- gen und Gegenstand einer länger anhaltenden Konversation oder zumin- dest anhaltenden Interaktion des Beschwerdeführers mit den Zivilbeamten hätte sein können, erschliesst sich aus seinen Schilderungen nicht. Es kann mithin entgegen den Ausführungen des Beschwerdeführers in der Beschwerde auch nicht von einem umfangreichen Erzählkonstrukt ausge- gangen werden, die vorgebrachten Details wie die Nennung der Anzahl der anwesenden Personen oder was diese taten (vgl. Beschwerde Rz. 64),</w:t>
      </w:r>
    </w:p>
    <w:p>
      <w:r>
        <w:t>E-5333/2020 Seite 11 tragen nicht dazu bei, den mehrstündigen Vorgang in einer zu erwartenden Weise zu konkretisieren, sondern spannen vielmehr lediglich den Rahmen, welchem es sodann an detailliertem Inhalt fehlt. Die Ausführungen um die Verhaftung vermögen insgesamt nicht den Eindruck zu erzeugen, dass der Beschwerdeführer von tatsächlich Erlebtem erzählt. Dazu trägt auch der Umstand bei, dass nicht nachvollziehbar ist, wie es dem Nachbar gelang, die drei zu den Akten gelegten Fotos zu machen (vgl. angefochtene Verfü- gung S. 8). Es ist mithin mit der Vorinstanz einherzugehen, dass die dies- bezüglichen Schilderungen weder schlüssig noch überzeugend sind und auf einen konstruierten Sachverhalt hindeuten. Überdies hat der Be- schwerdeführer auch in Bezug auf die Verhaftung inkonsistente Schilde- rungen wiedergegeben. Anfänglich erklärte er noch von Soldaten in einem Lieferwagen transportiert worden zu sein, wohingegen er später lediglich noch von einem Transport durch zivile Beamte beziehungsweise Personen sprach und sich auch hinsichtlich der zugegen gewesenen Fahrzeuge wi- dersprüchlich äusserte (vgl. SEM-Akten A37 F114 und SEM-Akten A43 F22, F136 f., F166 sowie Beschwerde Rz. 74). Ebenfalls ist der Vorinstanz in Bezug auf die geltend gemachte anschlies- sende mehrtätige Inhaftierung beizupflichten, dass es den Antworten zum Tagesablauf und dem Haftraum an jeglicher Substanz fehlt (vgl. angefoch- tene Verfügung S. 9 f.). Das zeigt sich vor dem Hintergrund, dass der Be- schwerdeführer es unterlassen hat, bei der Frage den Haftraum detailliert zu beschreiben, die Sanitäreneinrichtung zu nennen (vgl. SEM-Akten A43 F53 f.), welchen er wiederum bei seinen äusserst knappen Ausführungen zum Tagesablauf in jenem Haftraum eine Bedeutung zuschreibt (vgl. SEM- Akten A43 F133). Infolgedessen gelingt es dem Beschwerdeführer dem- entsprechend mit diesen knappen und inkonsistenten Ausführungen auch nicht einen hinreichend präzisen und in sich stimmigen Tagesablauf wäh- rend seiner Inhaftierung zu schildern. Auch konnte die Vorinstanz im Kon- text der Inhaftierung überzeugend darlegen, dass es schwer nachvollzieh- bar, mithin unglaubhaft ist, dass keine konsistenten Aussagen zu den fol- geschweren Vorfällen wie namentlich der Bewusstlosigkeit während der In- haftierung gemacht werden konnten. So gab der Beschwerdeführer an der ersten Anhörung an, mindestens drei oder vier Mal bewusstlos gewesen zu sein (vgl. SEM-Akten A37 F114), wohingegen er anlässlich der zweiten Anhörung nur noch davon sprach, er sei einmal bewusstlos gewesen, wo- bei er dies erst auf entsprechende Nachfrage erklärte und zuvor die Be- wusstlosigkeit im Rahmen der Schilderungen über die Inhaftierung gänz- lich weglassen hatte (vgl. SEM-Akten A43 F157 f.). Gleichermassen hat die Vorinstanz korrekterweise festgestellt, dass keine übereinstimmenden</w:t>
      </w:r>
    </w:p>
    <w:p>
      <w:r>
        <w:t>E-5333/2020 Seite 12 Aussagen des Beschwerdeführers über die geschilderte Gewalt am Tag seiner Inhaftierung vorliegen (vgl. angefochtene Verfügung S. 9). Einer- seits führte dieser anlässlich der ersten Anhörung aus, auch mit den Füs- sen getreten worden zu sein (vgl. SEM-Akten A37 F146), während er in der zweiten Anhörung widersprechend erklärt, nur mit den Händen geschlagen worden zu sein (vgl. SEM-Akten A43 F45). Schliesslich hat die Vorinstanz auch korrekt festgestellt, dass der Beschwerdeführer unterschiedliche Aus- sagen darüber machte, ob er am zweiten Tag der Haft verhört worden sei. So erklärte er in der ersten Anhörung, dass ihm am zweiten Tag keine Fra- gen gestellt worden seien (vgl. SEM-Akten A37 F114) und er «fast jeden Tag einvernommen» worden sei (vgl. SEM-Akten A37 F135), wohingegen er in der ergänzenden Anhörung vorbrachte, er sei «regelmässig, sozusa- gen jeden Tag» (vgl. SEM-Akten A43 F55) befragt worden und dies auch am zweiten Tag der Inhaftierung (vgl. SEM-Akten A43 F61).</w:t>
      </w:r>
    </w:p>
    <w:p>
      <w:r>
        <w:rPr>
          <w:b/>
        </w:rPr>
        <w:t>E. 8.2</w:t>
      </w:r>
    </w:p>
    <w:p>
      <w:r>
        <w:t>In Bezug auf die geltend gemachte erlebte sexuelle Gewalt gilt es vorab zu erwähnen, dass die Vorinstanz den Beschwerdeführer über die Ge- schehnisse in der Haft anhörte (vgl. SEM-Akten A37 F114 und SEM-Akten A43 F130 ff.). Wie soeben aufgezeigt, machte der Beschwerdeführer hier- bei mehrere widersprüchliche Angaben und im Speziellen auch zur erleb- ten Gewalt. Die äusserst vagen und substanzfreien Schilderungen über die Geschehnisse erhärten dabei die Zweifel, dass die Vorbringen konstruiert worden sind. Vor diesem Hintergrund war die Vorinstanz nicht gehalten, sämtliche Vorbringen auf ihre Glaubhaftigkeit hin zu prüfen, da sich bereits mit den geprüften Vorbringen ein hinreichend konkretes Bild zeichnete, dass die Haft sich so nicht ereignet haben konnte. Das Vorgehen der Vor- instanz ist demnach nicht zu beanstanden und die Ausführungen in der Beschwerde vermögen daran nichts zu ändern.</w:t>
      </w:r>
    </w:p>
    <w:p>
      <w:r>
        <w:rPr>
          <w:b/>
        </w:rPr>
        <w:t>E. 8.3</w:t>
      </w:r>
    </w:p>
    <w:p>
      <w:r>
        <w:t>Der Beschwerdeführer vermochte nicht glaubhaft zu machen, dass er vor seiner Ausreise Opfer von asylbeachtlichen Verfolgungshandlungen geworden ist.</w:t>
      </w:r>
    </w:p>
    <w:p>
      <w:r>
        <w:rPr>
          <w:b/>
        </w:rPr>
        <w:t>E. 8.4</w:t>
      </w:r>
    </w:p>
    <w:p>
      <w:r>
        <w:t>Zu prüfen bleibt, ob dem Beschwerdeführer bei seiner Rückkehr nach Sri Lanka ernsthafte Nachteile drohen. Das Bundesverwaltungsgericht hat im Referenzurteil E-1866/2015 vom 15. Juli 2016 festgestellt, dass Angehörige der tamilischen Ethnie bei einer Rückkehr nach Sri Lanka nicht generell einer ernstzunehmenden Gefahr von Verhaftung und Folter ausgesetzt sind (vgl. a.a.O. E. 8.3). Zur Beurtei- lung des Risikos von Rückkehrenden, Opfer ernsthafter Nachteile in Form</w:t>
      </w:r>
    </w:p>
    <w:p>
      <w:r>
        <w:t>E-5333/2020 Seite 13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 gründende Faktoren eingestuft, da sie unter den im Entscheid dargelegten Umständen bereits für sich alleine genommen zur Bejahung einer begrün- deten Furcht führen könnten. Demgegenüber stellen das Fehlen ordentli- cher Identitätsdokumente bei der Einreise in Sri Lanka, Narben und eine gewisse Aufenthaltsdauer in einem westlichen Land schwach risikobegrün- 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 strebt sei, den tamilischen Separatismus wiederaufleben zu lassen und so den sri-lankischen Einheitsstaat gefährde. Mit Blick auf die dargelegten Ri- 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 muteten Verbindung zu den LTTE enthalte. Entsprechendes gelte für sri- lankische Staatsangehörige, die sich im Ausland regimekritisch betätigt hätten (vgl. a.a.O. E. 8). Im Zusammenhang mit der aktuellen politischen Lage in Sri Lanka ist festzuhalten, dass sich das Bundesverwaltungsge- richt der jüngeren Veränderungen – insbesondere im Zusammenhang mit dem Machtwechsel nach den Präsidentschaftswahlen im November 2019 – bewusst ist. Es beobachtet die Entwicklungen aufmerksam und berück- sichtigt sie bei der Entscheidfindung. Zum heutigen Zeitpunkt gibt es kei- 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 vember 2019 respektive deren Folgen besteht (vgl. [statt vieler]: Urteil des BVGer D-4668/2021 vom</w:t>
      </w:r>
    </w:p>
    <w:p>
      <w:r>
        <w:rPr>
          <w:b/>
        </w:rPr>
        <w:t>E. 8.5</w:t>
      </w:r>
    </w:p>
    <w:p>
      <w:r>
        <w:t>Es ist somit in Würdigung sämtlicher Umstände anzunehmen, dass der Beschwerdeführer von der sri-lankischen Regierung nicht zu jener kleinen Gruppe gezählt wird, die bestrebt ist, den tamilischen Separatismus wieder aufleben zu lassen, und so eine Gefahr für den sri-lankischen Einheitsstaat darstellt. Auch unter Berücksichtigung der neusten Entwicklungen in Sri Lanka (vgl. E. 8.4) ist nicht davon auszugehen, dass ihm persönlich im Falle einer Rückkehr ernsthafte Nachteile im Sinne von Art. 3 AsylG drohen würden. Daran vermag auch der mit der Replik ins Recht gelegte Zeitungs- artikel vom 16. August 2020 nichts zu ändern.</w:t>
      </w:r>
    </w:p>
    <w:p>
      <w:r>
        <w:rPr>
          <w:b/>
        </w:rPr>
        <w:t>E. 8.6</w:t>
      </w:r>
    </w:p>
    <w:p>
      <w:r>
        <w:t>Zusammenfassend ist festzustellen, dass es dem Beschwerdeführer nicht gelungen ist, einen glaubhaften beziehungsweise flüchtlingsrechtlich bedeutsamen Sachverhalt darzulegen. Die Feststellung der Vorinstanz, der Beschwerdeführer erfülle die Flüchtlingseigenschaft nicht, ist dement- sprechend zu bestätigen.</w:t>
      </w:r>
    </w:p>
    <w:p>
      <w:r>
        <w:rPr>
          <w:b/>
        </w:rPr>
        <w:t>E. 9</w:t>
      </w:r>
    </w:p>
    <w:p>
      <w:r>
        <w:t>November 2021 E.</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E-5333/2020 Seite 16</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Zudem ergeben sich auch keine konkreten Hinweise darauf, dass er bei einer Rückkehr nach Sri Lanka mit beachtlicher Wahrschein- lichkeit Massnahmen zu befürchten hätte, die über einen sogenannten «Background Check» (Befragung und Überprüfung von Tätigkeiten im In-</w:t>
      </w:r>
    </w:p>
    <w:p>
      <w:r>
        <w:t>E-5333/2020 Seite 17 und Ausland) hinausgehen würden, oder dass er persönlich gefährdet wäre. Auch die allgemeine Menschenrechtssituation in Sri Lanka lässt den Weg- weisungsvollzug nach Auffassung des Gerichts nicht unzulässig erschei- nen (vgl. Referenzurteil des BVGer E-737/2020 vom 27. Februar 2023 E. 10.1.2.3 und Referenzurteil E-1866/2015 E. 12.2). Auch der EGMR hat ferner wiederholt festgestellt, dass nicht generell davon auszugehen sei, zurückkehrenden Tamilen und Tamilinnen drohe in Sri Lanka eine un- menschliche Behandlung (vgl. EGMR, R.J. gegen Frankreich vom 19. Sep- tember 2013, Nr.10466/11, Ziff. 37). Die vom EGMR genannten Faktoren sind im Wesentlichen durch die im Referenzurteil des Bundesverwaltungs- gerichts E-1866/2015 vom 15. Juli 2016 in den Erwägungen 8.4 und 8.5 identifizierten Risikofaktoren abgedeckt. Vorliegend wurde bereits festge- stellt, dass aufgrund der Aktenlage nicht davon auszugehen ist, dass der Beschwerdeführer bei einer Rückkehr aus der Schweiz nach Sri Lanka die Aufmerksamkeit der sri-lankischen Behörden in einem flüchtlingsrechtlich relevanten Ausmass auf sich ziehen wird. Demnach bestehen auch keine Anhaltspunkte dafür, dass ihm aus denselben Gründen eine menschen- rechtswidrige Behandlung im Heimatland drohen würde. Daran vermögen auch die neuesten Entwicklungen in Sri Lanka nichts zu ändern (vgl. E. 8.4). 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Aktuell herrscht in Sri Lanka weder Krieg noch eine Situation allge- meiner Gewalt (vgl. Urteil E-1467/2020 E. 9.3.2). Der Vollzug der Wegwei- sung in die Nordprovinz ist gemäss Praxis des Bundesverwaltungsgerichts zumutbar, wenn das Vorliegen der individuellen Zumutbarkeitskriterien (insbesondere Existenz eines tragfähigen familiären oder sozialen Bezie- hungsnetzes sowie Aussichten auf eine gesicherte Einkommens- und Wohnsituation) bejaht werden kann (vgl. Referenzurteil des BVGer E-1866/2015 E. 13.2).</w:t>
      </w:r>
    </w:p>
    <w:p>
      <w:r>
        <w:t>E-5333/2020 Seite 18 Das Gericht erachtet den Vollzug vorliegend als zumutbar. Der Beschwer- deführer lebte bis zu seiner Ausreise in der Nordprovinz, wo er über ein intaktes familiäres Beziehungsnetz verfügt und zu welchem er auch aus der Schweiz Kontakt pflegte (vgl. SEM-Akten A43 F91 ff.). Seine Familie lebt wieder in J._______, wo sie ursprünglich herkommt und auch Land für die Agrikultur besitzt (vgl. SEM-Akten A37 F105, SEM-Akten A43 F91 und Beschwerde Rz. 1 ff. und Rz. 44). Bereits vor seiner Ausreise lebte der Be- schwerdeführer bei seiner Familie und arbeitete in der Landwirtschaft, es kann ihm mithin ohne Weiteres zugemutet werden, daran anzuknüpfen und diese Tätigkeit fortzusetzen. Im Übrigen ist der Beschwerdeführer ein jun- ger und arbeitsfähiger Mann, der zwölf Jahre die Schule besucht sowie das A-Level abgeschlossen hat und nebst der landwirtschaftlichen Arbeit auch Arbeitserfahrung bei einem Versicherungsunternehmen vorweisen kann.</w:t>
      </w:r>
    </w:p>
    <w:p>
      <w:r>
        <w:rPr>
          <w:b/>
        </w:rPr>
        <w:t>E. 10.3.2</w:t>
      </w:r>
    </w:p>
    <w:p>
      <w:r>
        <w:t>Auf Unzumutbarkeit des Wegweisungsvollzugs aus medizinischen Gründen ist dann zu schliessen, wenn eine notwendige medizinische Be- handlung im Heimatland nicht zur Verfügung steht und die Rückkehr zu einer raschen und lebensgefährdenden Beeinträchtigung des Gesund- heitszustandes führt. Dabei wird als wesentlich die allgemeine und drin- gende medizinische Behandlung erachtet, die zur Gewährleistung einer menschenwürdigen Existenz absolut notwendig ist (vgl. BVGE 2011/50 E. 8.3). Unzumutbarkeit liegt jedenfalls dann noch nicht vor, wenn im Hei- mat- oder Herkunftsstaat eine nicht dem schweizerischen Standard ent- sprechende medizinische Behandlung möglich ist (vgl. BVGE 2009/2 E. 9.3.2 m.w.H.). Von der gegenwärtig anhaltenden Wirtschaftskrise in Sri Lanka ist auch das Gesundheitssystem des Landes stark betroffen. Die Gesundheitsver- sorgung ist im ganzen Land als prekär einzustufen. Notwendige Behand- lungen und Operationen, aber auch das erforderliche medizinische Perso- nal, stehen oftmals nicht in angemessener Weise zur Verfügung. Medika- mente sind knapp oder nicht vorhanden und der Medikamentenbestand ist als volatil einzuschätzen. Dennoch ist die Annahme gerechtfertigt, dass eine gewisse Grundversorgung nach wie vor vorhanden ist (vgl. zum Gan- zen Referenzurteil E-737/2020 E. 10.2 und vgl. auch Urteil E-1467/2020 E. 9.3.2). Im Zusammenhang mit der Behandlung von psychischen Krank- heiten verfügt Sri Lanka über geschultes Personal, die Anzahl spezialisier- ter und qualifizierter Psychologen und Psychiater war jedoch bereits vor Ausbruch der Krise begrenzt. Die gegenwärtige Wirtschaftskrise bewirkt, dass der Druck auf öffentliche Angebote zunimmt, unter anderem weil sich die Patienten Privatbehandlungen nicht mehr leisten könnten und aufgrund</w:t>
      </w:r>
    </w:p>
    <w:p>
      <w:r>
        <w:t>E-5333/2020 Seite 19 der Krise die Nachfrage nach psychologischer Behandlung markant gestie- gen ist. Sodann wird von einer Erschöpfung des Vorrats an Medikamenten berichtet, der auch Psychopharmaka betrifft (vgl. Referenzurteil E-737/2020 E.10.2.5.3 m.w.H.). Alle vorhandenen Ressourcen erscheinen vor diesem Hintergrund insbesondere im Norden des Landes knapp, das System arbeitet an der Überlastungsgrenze (vgl. Referenzurteil E-737/2020 E. 10.2.5.4 m.w.H. und vgl. auch Urteil des BVGer D-965/2020 vom 9. Juni 2023 E. 9.3.6 f.). Der Beschwerdeführer reichte beim Bundesverwaltungsgericht mit Ein- gabe vom 24. August 2021 einen Arztbericht des G._______ vom 9. Au- gust 2021 zu den Akten, wobei er geltend machte, dass aufgrund seines psychiatrischen Zustands und der mangelnden medizinischen Versorgung in seinem Heimatland der Wegweisungsvollzug nicht zumutbar wäre. Im Arztbericht vom 9. August 2021 wird im Wesentlichen festgehalten, dass beim Beschwerdeführer eine (…) sowie eine (…) diagnostiziert wurde, wo- bei Konsultationen in wöchentlichem bis zweiwöchentlichem Abstand statt- finden. Neben der Stabilisierung seiner Lebenssituation sei eine fortlau- fende psychotherapeutische Behandlung indiziert. Im Fall einer Rückfüh- rung sei von einer Symptomzunahme, Retraumatisierung und Destabilisie- rung auszugehen und es würde ein grosses Risiko für die Stabilität und Gesundheit bestehen (vgl. Arztbericht G._______ 9. August 2021). Ein aktuellerer Arztbericht wurden nicht zu den Akten gereicht, weshalb auf den vorgenannten abzustellen ist. Es gilt in diesem Zusammenhang anzu- merken, dass vom Beschwerdeführer, obwohl er bereits im Januar 2016 in der Schweiz ein Asylgesuch gestellt hatte, keine weiteren Unterlagen wie namentlich allfällige ältere Arztberichte ins Recht gelegt wurden. Im Übri- gen machte der Beschwerdeführer darüber hinaus keine schwerwiegen- den gesundheitliche Probleme geltend beziehungsweise gab einerseits an- lässlich der BzP an, dass er gesund sei (vgl. SEM-Akten F8.02) und ande- rerseits an der ersten Anhörung lediglich an, ausser einer Allergie keine Beschwerden zu haben (vgl. SEM-Akten A37 F105 ff.). In Bezug auf die diagnostizierte (…) und (…) des Beschwerdeführers lässt sich nicht auf eine dringend behandlungsbedürftige medizinische Notlage schliessen. Gemäss dem Arztbericht nimmt er (…) zu sich. Es ist dem Bericht jedoch nicht zu entnehmen, dass er auf eine regelmässige Einnahme von Medi- kamenten angewiesen ist. Im Übrigen macht der Beschwerdeführer auch nicht geltend auf eine bestimmte Medikation angewiesen zu sein. Es ist ihm daher im Lichte der Rechtsprechung zuzumuten, sich an eines der existierenden Spitäler mit psychiatrischen Abteilungen zur stationären</w:t>
      </w:r>
    </w:p>
    <w:p>
      <w:r>
        <w:t>E-5333/2020 Seite 20 Betreuung oder an eine der existierenden Einrichtungen für die ambulante Behandlung von psychisch erkrankten Personen zu wenden (vgl. auch Ur- teil D-965/2020 E. 9.3.7). An dieser Einschätzung vermag auch der Um- stand, dass die Behandlungsmöglichkeiten in Sri Lanka deutlich schwerer zugänglich sind als in der Schweiz und sich dies aufgrund der aktuellen wirtschaftlichen Lage noch akzentuiert haben dürfte, nichts zu ändern (vgl. Urteil D-965/2020 E. 9.3.6 f.). 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dem Be- schwerdeführer aufzuerlegen (Art. 63 Abs. 1 VwVG; Art. 1–3 des Regle- ments vom 21. Februar 2008 über die Kosten und Entschädigungen vor dem Bundesverwaltungsgericht [VGKE, SR 173.320.2]). Da ihm jedoch mit Zwischenverfügung vom 6. November 2020 die unentgeltliche Prozessfüh- rung gemäss Art. 65 Abs. 1 VwVG gewährt wurde und keine massgebli- chen Veränderungen der finanziellen Verhältnisse ersichtlich sind, sind keine Verfahrenskosten zu erheben.</w:t>
      </w:r>
    </w:p>
    <w:p>
      <w:r>
        <w:rPr>
          <w:b/>
        </w:rPr>
        <w:t>E. 12.2</w:t>
      </w:r>
    </w:p>
    <w:p>
      <w:r>
        <w:t>Mit Zwischenverfügung vom 13. Juni 2022 wurde die Rechtsvertrete- rin des Beschwerdeführers als amtliche Rechtsbeiständin gemäss aArt. 110a Abs. 1 AsylG beigeordnet. Da die frühere Rechtsbeiständin des Beschwerdeführers ihre Ansprüche an ihre Nachfolgerin abgetreten hat, ist letzterer ein entsprechendes Honorar auszurichten. Mit Eingabe vom</w:t>
      </w:r>
    </w:p>
    <w:p>
      <w:r>
        <w:t>E-5333/2020 Seite 21 30. Oktober 2020 wurde – noch von der früheren Rechtsbeiständin – eine Kostennote eingereicht, die nicht zu beanstanden ist. Der amtlichen Rechtsbeiständin ist folglich zulasten des Bundesverwaltungsgerichts ein amtliches Honorar in Höhe von Fr. 2'460.– (nicht mehrwertsteuerpflichtig) auszurichten. (Dispositiv nächste Seite)</w:t>
      </w:r>
    </w:p>
    <w:p>
      <w:r>
        <w:t>E-5333/2020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