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E-5332/2018 vom 23. Juli 2019</w:t>
      </w:r>
    </w:p>
    <w:p>
      <w:r>
        <w:t>Bundesverwaltungsgericht, 2019-07-23, DE</w:t>
      </w:r>
    </w:p>
    <w:p>
      <w:r>
        <w:rPr>
          <w:b/>
        </w:rPr>
        <w:t xml:space="preserve">Quelle: </w:t>
      </w:r>
      <w:r>
        <w:t>https://mcp.opencaselaw.ch/entscheid/bvger_E-5332_2018</w:t>
      </w:r>
    </w:p>
    <w:p>
      <w:r>
        <w:t>FR: TAF E-5332/2018 du 23 juillet 2019</w:t>
      </w:r>
    </w:p>
    <w:p>
      <w:r>
        <w:t>IT: TAF E-5332/2018 del 23 luglio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mit Verfügung vom 5. März 2019 die Verfügung vom 6. September 2018 teilweise in Wiedererwägung gezogen, deren Dispositiv-Ziffer 4 aufgehoben und die vorläufige Aufnahme des Beschwerdeführers wegen Unzulässigkeit des Wegweisungsvollzuges angeordnet. Diesbezüglich sowie bezüglich Dispositivziffer 5 erweist sich die Beschwerde als gegenstandslos. Im Übrigen ist über die Beschwerde zu befinden, nachdem der Beschwerdeführer mit Eingabe vom 12. März 2019 explizit erklärt hat, an dieser festhalten zu wollen.</w:t>
      </w:r>
    </w:p>
    <w:p>
      <w:r>
        <w:rPr>
          <w:b/>
        </w:rPr>
        <w:t>E. 4.1</w:t>
      </w:r>
    </w:p>
    <w:p>
      <w:r>
        <w:t>In der Beschwerde werden zunächst verschiedene formelle Rügen erhoben, welche vorab zu beurteilen sind, da sie allenfalls geeignet wären, eine Kassation der vorinstanzlichen Verfügung zu bewirken. Der Beschwerdeführer rügt zur Hauptsache eine Verletzung des rechtlichen Gehörs (Art. 29 VwVG) respektive eine Verletzung der Begründungspflicht und eine Verletzung des Akteneinsichtsrechts sowie eine Verletzung der Pflicht zur vollständigen und richtigen Abklärung des rechtserheblichen Sachverhalts (Art. 6 AsylG i.V.m. Art. 12 VwVG).</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4.3</w:t>
      </w:r>
    </w:p>
    <w:p>
      <w:r>
        <w:t>Aus dem Akteinsichtsrecht als Teilgehalt des rechtlichen Gehörs folgt, dass grundsätzlich sämtliche beweiserheblichen Akten den Beteiligten zur Einsicht gegeben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m.w.H.).</w:t>
      </w:r>
    </w:p>
    <w:p>
      <w:r>
        <w:rPr>
          <w:b/>
        </w:rPr>
        <w:t>E. 4.4</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4.5</w:t>
      </w:r>
    </w:p>
    <w:p>
      <w:r>
        <w:t>Die Begründungspflicht, welche sich ebenfalls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(Kneubühler, in: Auer/Müller/Schindler [Hrsg.], Kommentar zum Bundesgesetz über das VwVG, 2. Aufl. 2019, Rz. 6 ff. zu Art. 35 VwVG;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5.1</w:t>
      </w:r>
    </w:p>
    <w:p>
      <w:r>
        <w:t>Der Beschwerdeführer macht zunächst eine Verletzung des Anspruchs auf rechtliches Gehör respektive eine Verletzung des Akteneinsichtsrechts geltend. So sei den Akten zu entnehmen, dass mit der Aushändigung des Asylentscheids an die Rechtsvertretung im Testbetrieb Zürich keine Akteneinsicht gewährt worden sei. Damit unterscheide sich das Vorgehen des SEM im Testverfahren beispielsweise vom Vorgehen bei Dublin-Verfahren, bei welchen zusammen mit der Entscheidzustellung zwingend Akteneinsicht gewährt werden müsse. Die Begründung der Vorinstanz, wonach keine Akteneinsicht bei der Entscheideröffnung im Testverfahren gewährt werden müsse, weil die Rechtsvertretung im Rahmen des Testverfahrens bei jedem Verfahrensschritt zugegen sei, sei willkürlich und verstosse gegen den Grundsatz eines fairen Verfahrens. Der Anspruch auf Akteneinsicht könne nicht durch die persönliche Teilnahme einer Rechtsvertretung während der einzelnen Verfahrensschritte abgegolten werden. Die Beschwerdefrist im Rahmen des Testverfahrens sei mit zehn Kalendertagen ähnlich kurz bemessen wie beim Dublin-Verfahren. Es sei offensichtlich, dass für das Testverfahren und das Dublin-Verfahren in Bezug auf die Gewährung der Akteneinsicht die gleichen Voraussetzungen gelten müssten. So zeichne es sich ab, dass die Rechtsvertretungen im Testbetrieb, wie auch im vorliegenden Fall, die Mandate nach ergangenem vorinstanzlichem Entscheid niederlegen würden. Dies entspreche einer Mandatsniederlegung zur Unzeit. Innert der kurzen zehntägigen Frist habe der Beschwerdeführer eine neue Rechtsvertretung zu mandatieren, ein Gesuch um Akteneinsicht zu stellen, sich die Akten zustellen zu lassen und eine Beschwerde einzureichen. Im Weiteren habe die Vorinstanz durch ihr Vorgehen und insbesondere ihr Schreiben vom 14. September 2018 an den mandatierten Rechtsvertreter überspitzt formalistisch gehandelt. So habe sie dem Rechtsvertreter mitgeteilt, er müsse ein Akteneinsichtsgesuch stellen, obschon dieser bereits mit Eingabe vom 11. September 2018 die Verletzung des Anspruchs auf Akteneinsicht gerügt und die Aufhebung der Verfügung verlangt habe. Ebenso sei anzumerken, dass dem früheren Rechtsvertreter nicht alle Seiten des Anhörungsprotokolls überreicht worden seien und dieser lediglich Einsicht in fünf Akten erhalten habe, wobei insbesondere das Beweismittelcouvert und die entsprechenden Übersetzungen der Beweismittel trotz Paginierung nicht offengelegt worden seien. Schliesslich habe der rubrizierte Rechtsvertreter die vollständigen Akten des SEM erst am letzten Tag der Beschwerdefrist erhalten. Hierzu ist Folgendes festzustellen: Die Verfügung wurde dem Beschwerdeführer am 6. September 2018 eröffnet. Die Mandatsniederlegung erfolgte gleichentags, mithin nicht zur Unzeit. Die Frist zur Beschwerdeerhebung lief ab dem 7. September 2018 während 10 Tagen bis Montag, den 17. September 2018. Am 11. September 2018 wurde der Rechtsvertreter im Verfahren mandatiert und ersuchte erst am 14. September 2018 um Akteneinsicht beim SEM. Ein überspitzter Formalismus des SEM ist vorliegend nicht zu erkennen, zumal das SEM nicht für einen reibungslosen Handwechsel zwischen den Rechtsvertretungen verantwortlich ist. Das SEM hat die Akten dem Rechtsvertreter noch am gleichen Tag des Akteneinsichtsgesuchs vorab per Telefax zugesandt. Eine Verletzung des Akteneinsichtsrechts liegt mithin ebenfalls nicht vor. Der Rechtsvertreter ist gehalten, sich bei der Annahme von Mandaten mit einer kurzen Beschwerdefrist entsprechend zu organisieren. Der Beschwerdeführer hatte auf Beschwerdeebene überdies die Gelegenheit zur Beschwerdeergänzung, von welcher er auch Gebrauch gemacht hat.</w:t>
      </w:r>
    </w:p>
    <w:p>
      <w:r>
        <w:rPr>
          <w:b/>
        </w:rPr>
        <w:t>E. 5.2</w:t>
      </w:r>
    </w:p>
    <w:p>
      <w:r>
        <w:t>Der Beschwerdeführer bringt weiter vor, das SEM habe seine Abklärungspflicht verletzt, zumal sich nach der Anhörung beziehungsweise spätestens nach der Stellungnahme des früheren Rechtsvertreters weitere Abklärungen zu den geltend gemachten Vorfluchtgründen, insbesondere eine weitere Anhörung sowie eine Botschaftsabklärung im Heimatstaat aufgedrängt hätten. Demzufolge hätte das vorliegende Verfahren ausserhalb des Testphasenverfahrens überwiesen werden müssen. Der pauschale Hinweis auf den weiteren Abklärungsbedarf im Hinblick auf die Frage der Glaubhaftmachung der Vorbringen zu den Vorfluchtgründen gibt keinen Anlass zur Durchführung einer weiteren Anhörung oder einer Botschaftsabklärung. Die Frage der Glaubhaftmachung beschlägt vielmehr die rechtliche Würdigung und bildet Gegenstand der materiellen Prüfung des Asylentscheides.</w:t>
      </w:r>
    </w:p>
    <w:p>
      <w:r>
        <w:rPr>
          <w:b/>
        </w:rPr>
        <w:t>E. 5.3</w:t>
      </w:r>
    </w:p>
    <w:p>
      <w:r>
        <w:t>Weiter wird vorgebracht, die Vorinstanz habe der geltend gemachten erlittenen Folter in der Haft nicht Rechnung getragen, obschon unbestrittenermassen feststehe, dass er in seinem Heimatstaat inhaftiert und gefoltert worden sei und ihm bei einer Rückkehr eine gezielte Verfolgung drohe. In Bezug auf die Lage der Kurden in der Türkei habe das SEM veraltete Textbausteine verwendet und ausser Acht gelassen, dass er seit seiner Kindheit stets für die HDP aktiv gewesen, obschon die türkische Regierung Kundgebungen untersage, und er wegen seines politischen Engagements bereits von der Polizei geschlagen worden sei. Damit habe das SEM seine Abklärungspflicht schwerwiegend verletzt. Auch die Umstände, dass er sich in F._______ bei Freunden habe verstecken müssen, dass seine Familie wegen Behelligungen dreimal die Adresse habe wechseln müssen, und dass er mit seiner Persönlichkeit und seinem Profil als Kurde provoziert habe, habe die Vorinstanz unerwähnt gelassen. Das zentrale fluchtauslösende Ereignis, die Aufforderung der Polizisten zur Spitzeltätigkeit bei der HDP, habe die Vorinstanz nicht korrekt verstanden und gewürdigt. Was die eingereichten Beweismittel anbelange, habe die Vorinstanz lediglich in pauschaler Weise behauptet, die Beweismittel würden zum asylrelevanten Sachverhalt nichts beitragen. Auch auf die mit der geltend gemachten Folter während der Haft im Zusammenhang stehende E-Mail der SFH vom 5. September 2018 und der darin enthaltenen Verweise auf die Berichte des australischen Aussen- und Handelsministeriums (DFAT) sowie der UK Border Agency (act. A23/6 S. 3 f.) sei die Vorinstanz nicht weiter eingegangen. Diesbezüglich ist festzuhalten, dass die zuständige Behörde verpflichtet ist, die Vorbringen der Betroffenen sorgfältig und ernsthaft zu prüfen und in der Entscheidfindung zu berücksichtigen. Jedoch muss sich die verfügende Behörde nicht ausdrücklich mit jeder tatbestandlichen Behauptung und jedem rechtlichen Einwand auseinandersetzen, sondern darf sich auf die wesentlichen Gesichtspunkte beschränken (vgl. BGE 126 I 97 E. 2b). Es ist denn auch festzustellen, dass in der angefochtenen Verfügung eine ausführliche Auseinandersetzung mit den wesentlichen Vorbringen des Beschwerdeführers in Bezug auf seine Asylgründe erfolgte. Der Umstand, dass die Vorinstanz die Details der Asylvorbringen, die in der Beschwerde als wesentlich herausgearbeitet werden und vor allem den im Jahr 2005 durchlaufenen Militärdienst sowie die Haftzeit von 2015 bis März 2017 betreffen, in der Verfügung kurz abgehandelt hat, ist nicht als Verletzung des rechtlichen Gehörs zu werten. Der Fokus der vorinstanzlichen Asylprüfung lag auf den vom Beschwerdeführer geltend gemachten Problemen mit dem Verein E._______ sowie den Versuchen der Sicherheitsbehörden, den Beschwerdeführer als Spitzel anzuwerben. Diese Ereignisse hat der Beschwerdeführer als fluchtauslösend bezeichnet. Die Vorinstanz hat diese Vorbringen in der materiellen Würdigung als unglaubhaft erachtet. In Bezug auf die zeitlich vorgelagerte Haftverbüssung hat das SEM diese als abgeschlossen und nicht im Zusammenhang stehend mit den nachfolgenden, fluchtauslösenden Ereignissen beurteilt. In der Beschwerde dienen denn die formellen Rügen auch überwiegend zur Urteilskritik, die jedoch materielle Aspekte der Prüfung betreffen. Das SEM hat sodann alle Beweismittel, welche der Beschwerdeführer im vorinstanzlichen Verfahren eingereicht hat, im angefochtenen Entscheid aufgeführt und diese, sofern diese rechtserheblich waren, gewürdigt. Die Rüge der Verletzung des rechtlichen Gehörs beziehungsweise der Abklärungspflicht erweist sich daher als unbegründet. Im Übrigen bildet die Frage, ob diese Dokumente geeignet sind, die Fluchtvorbringen des Beschwerdeführers zu belegen, ebenfalls Gegenstand der materiellen Würdigung. Soweit der Beschwerdeführer vorbringt, das SEM habe auf die mit der geltend gemachten Folter im Zusammenhang stehenden E-Mail der SFH vom 5. September 2018 und der darin enthaltenen Verweise auf die Berichte des DFAT sowie der UK Border Agency keinen Bezug genommen, ist festzustellen, dass das SEM in seiner Verfügung keinen expliziten Bezug auf diese genommen hat. Dies allein vermag jedoch noch keine Verletzung eines formellen Rechts herbeizuführen, zumal das SEM die geltend gemachte Haft als abgeschlossen und nicht relevant für die Flucht des Beschwerdeführers erachtete.</w:t>
      </w:r>
    </w:p>
    <w:p>
      <w:r>
        <w:rPr>
          <w:b/>
        </w:rPr>
        <w:t>E. 5.4</w:t>
      </w:r>
    </w:p>
    <w:p>
      <w:r>
        <w:t>Im Übrigen macht der Beschwerdeführer geltend, die Anhörung sei von Suggestivfragen und falschen Vorhalten geprägt gewesen, welche seinen vorherigen Ausführungen widersprochen hätten (Beschwerde Art. 61 ff., 72 f., 87 f.). Zudem hätte es an der Anhörung an den entsprechenden Fragen zum Vorfall mit der Polizei gefehlt, die zur Aufklärung des Sachverhalts notwendig gewesen wären. Stattdessen habe der Befrager den Fokus auf den Militärdienst gelegt. Dem Beschwerdeführer könne daher nicht vorgeworfen werden, dass er den Vorfall mit der Polizei unsubstantiiert geschildert habe (Beschwerde Art. 74 ff.). Auch dieses Vorbringen erweist sich als unbegründet, zumal den Anhörungsprotokollen nichts Entsprechendes zu entnehmen ist und der Beschwerdeführer vielmehr ausführlich Gelegenheit hatte, sämtliche Fluchtgründe dezidiert zu schildern.</w:t>
      </w:r>
    </w:p>
    <w:p>
      <w:r>
        <w:rPr>
          <w:b/>
        </w:rPr>
        <w:t>E. 5.5</w:t>
      </w:r>
    </w:p>
    <w:p>
      <w:r>
        <w:t>Der allgemeine Hinweis auf das Willkürverbot (Beschwerde Art. 69 f.) geht schliesslich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Müller/Schäfer, Grundrechte in der Schweiz, 4. Aufl. 2008, S. 11; Häfelin/Haller/Keller/Thurnherr, Schweizerisches Bundesstaatsrecht, 9. Aufl. 2016, Rz 811 f.; BGE 133 I 149 E. 3.1, m.w.H.). Vorliegend wird jedoch weder näher ausgeführt noch ist ersichtlich, dass und inwiefern die Vorgehensweise des SEM darunter zu subsumieren wäre.</w:t>
      </w:r>
    </w:p>
    <w:p>
      <w:r>
        <w:rPr>
          <w:b/>
        </w:rPr>
        <w:t>E. 5.6</w:t>
      </w:r>
    </w:p>
    <w:p>
      <w:r>
        <w:t>Zusammenfassend erweisen sich die verschiedenen Rügen der Verletzung formellen Rechts, soweit sie die geltend gemachten Vorfluchtgründe betreffen, als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in Art. 3 Abs. 1 AsylG aufgezählten Motive erfolgenden - Benachteiligung als wahrscheinlich und dementsprechend die Furcht davor als realistisch und nachvollziehbar erscheinen lassen.</w:t>
      </w:r>
    </w:p>
    <w:p>
      <w:r>
        <w:rPr>
          <w:b/>
        </w:rPr>
        <w:t>E. 6.3</w:t>
      </w:r>
    </w:p>
    <w:p>
      <w:r>
        <w:t>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6.4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Das Bundesverwaltungsgericht kommt vorliegend zum Schluss, dass die geltend gemachten Vorfluchtgründe den Anforderungen an Art. 3 und 7 AsylG nicht zu genügen vermögen.</w:t>
      </w:r>
    </w:p>
    <w:p>
      <w:r>
        <w:rPr>
          <w:b/>
        </w:rPr>
        <w:t>E. 7.2</w:t>
      </w:r>
    </w:p>
    <w:p>
      <w:r>
        <w:t>Zunächst ist festzuhalten, dass die geltend gemachten Vorfälle im Militärdienst, das vom Beschwerdeführer durchlaufene Strafverfahren und die spätere Verbüssung der Haftstrafe von der Vorinstanz nicht in Zweifel gezogen wurden, da bereits die Asylrelevanz dieses als abgeschlossen erachteten Sachverhalts verneint wurde.</w:t>
      </w:r>
    </w:p>
    <w:p>
      <w:r>
        <w:rPr>
          <w:b/>
        </w:rPr>
        <w:t>E. 7.3</w:t>
      </w:r>
    </w:p>
    <w:p>
      <w:r>
        <w:t>Das Bundesverwaltungsgericht hegt keine Zweifel daran, dass der Beschwerdeführer in seinem Heimatstaat ein Strafverfahren durchlaufen hat und in der Folge zu einer Haftstrafe verurteilt wurde. Nicht frei von Zweifeln erscheint aber das Vorbringen, dass es sich bei der Verurteilung wegen Totschlags eines ebenfalls im Militär befindlichen Dienstleistenden um das Resultat einer politisch motivierten Verschwörung gehandelt hat und der Beschwerdeführer für ein nichtbegangenes Verbrechen eine Strafe verbüsst hat. Der Beschwerdeführer weist in seiner Person kein Profil auf, welches den Schluss nahelegen könnte, dass eine solche Verschwörung gegen ihn aus politisch motivierten Motiven überhaupt möglich scheint. Zudem macht er geltend, dass diese ungerechtfertigte Verurteilung auf dem persönlichen Konflikt zwischen ihm und seinem Militärkommandanten beruhe, welcher Kurden hasse. Ein solcher Konflikt im Militär scheint keineswegs abwegig und wurde vom Beschwerdeführer auch nachvollziehbar geschildert. Nicht plausibel ist aber, dass sich dieser Konflikt auf die Ermittlungs- und Strafbehörde sowie das Gericht übertragen konnte. Der Beschwerdeführer machte im Übrigen selbst geltend, dass er anlässlich der staatsanwaltlichen Einvernahme die Tat gestanden hat, obwohl er sich vorher vorgenommen habe, dies nicht zu tun (act. A19/20 F78 S. 10 f.). Die Höhe des ausgesprochenen Strafmasses (vier Jahre beziehungsweise drei Jahre und vier Monate, act. A19/20 F78 S. 11 f.) spricht angesichts des ihm zur Last gelegten Delikts ebenfalls nicht für eine illegitime Bestrafung im Sinne eines Politmalus. In diesem Zusammenhang ist auch festzuhalten, dass sich der Beschwerdeführer nach der Verurteilung weiterhin in seinem Heimatstaat aufhielt und die Strafe erst angetreten hat, nachdem er anlässlich einer Kontrolle als verurteilter Straftäter erkannt und inhaftiert wurde. Letztlich können aber weitere Ausführungen hierzu aus den nachfolgenden Gründen unterbleiben.</w:t>
      </w:r>
    </w:p>
    <w:p>
      <w:r>
        <w:rPr>
          <w:b/>
        </w:rPr>
        <w:t>E. 7.4</w:t>
      </w:r>
    </w:p>
    <w:p>
      <w:r>
        <w:t>Der Vorinstanz ist nämlich dahingehend zuzustimmen, dass der Beschwerdeführer die Haft, während welcher er nach eigenen Angaben körperliche Misshandlungen zu erdulden hatte, im März 2017 verbüsst hatte. Seine Ausreise erfolgte im April 2018 und war nach Angaben des Beschwerdeführers bedingt durch die Probleme mit dem Verein E._______ in seinem Heimatort sowie den Versuch der Polizei, ihn für eine Spitzeltätigkeit in der HDP zu gewinnen. Beide Aspekte stehen jedoch in keinem Zusammenhang zur im März 2017 beendeten Haft. Der Beschwerdeführer machte denn auch nicht geltend, dass er nach der Haft noch Probleme mit den Strafbehörden gehabt habe.</w:t>
      </w:r>
    </w:p>
    <w:p>
      <w:r>
        <w:rPr>
          <w:b/>
        </w:rPr>
        <w:t>E. 7.5</w:t>
      </w:r>
    </w:p>
    <w:p>
      <w:r>
        <w:t>Sofern nunmehr auf Beschwerdeebene der Fokus auf die im Militärdienst und während der Verbüssung der Haftstrafe erlittenen Schikanen und Misshandlungen verwiesen wird, ist auch diesbezüglich nicht von asylrelevanten Umständen auszugehen. Eine Furcht vor Verfolgungshandlungen im Zusammenhang mit dieser Verurteilung scheint objektiv nicht begründet. Gemäss publizierter und von der Schweizerischen Asylrekurskommission (ARK) begründeter Praxis kann eine erlittene Vorverfolgung auch nach Wegfall einer weiteren, zukünftig drohenden Verfolgungsgefahr weiterhin als asylrechtlich relevant zu betrachten, wenn eine Rückkehr in den früheren Verfolgerstaat aus zwingenden, auf diese Verfolgung zurückgehenden Gründen nicht zumutbar ist; bei dieser Auslegung von Art. 3 AsylG wird die Ausnahmebestimmung des Art. 1C Ziff. 5 Abs. 2 des Abkommens vom 28. Juli 1951 über die Rechtsstellung der Flüchtlinge (FK, SR 0.142.30) herangezogen (EMARK 2001 Nr. 3 E. 5 ff. m.w.H.; bestätigt in BVGE 2007/31 E. 5.4). Als «zwingende Gründe» in diesem Zusammenhang sind vorab traumatisierende Erlebnisse zu betrachten, die es dem Betroffenen angesichts erlebter schwerwiegender Verfolgungen, insbesondere Folterungen, im Sinne einer Langzeittraumatisierung psychologisch verunmöglichen, ins Heimatland zurückzukehren. Von solchen Umständen ist vorliegend unter Verweis auf die vorangegangenen Erwägungen aber nicht auszugehen.</w:t>
      </w:r>
    </w:p>
    <w:p>
      <w:r>
        <w:rPr>
          <w:b/>
        </w:rPr>
        <w:t>E. 7.6</w:t>
      </w:r>
    </w:p>
    <w:p>
      <w:r>
        <w:t>Was sodann das Vorbringen in Bezug auf die Probleme mit dem Verein E._______ betrifft, ist den Ausführungen der Vorinstanz, auf die zur Vermeidung von Wiederholungen vollumfänglich verwiesen werden kann, zuzustimmen (s. Verfügung S. 3 ff.). Der Beschwerdeführer vermochte in den Anhörungen keine substanziierten und nachvollziehbaren Angaben zu den vorgebrachten Ereignissen zu machen. Insbesondere im Vergleich zu seinen sehr detaillierten Schilderungen die Zeit im Militär betreffend (act. A19/20 F76 ff.) sind die Ausführungen zur geltend gemachten Todesdrohung durch den E._______ und den daraus resultierenden Folgen weitgehend pauschal geblieben und kaum erlebnisgeprägt ausgefallen. Auch auf Nachfrage des Sachbearbeiters hin konnte der Beschwerdeführer keine weiteren Einzelheiten ergänzen. Ausserdem sind den Ausführungen des Beschwerdeführers verschiedene Ungereimtheiten zu entnehmen. So ergibt sich kein schlüssiges Bild, wann und aus welchen Gründen die Auseinandersetzungen mit dem E._______ begonnen haben sollen, gleich im März 2017, als der Beschwerdeführer aus dem Gefängnis entlassen wurde oder erst im Februar 2018 (act. A19/20 F73, A21/22 F55 f., F62 ff.). Ebenfalls unklar bleibt, in welchem Zusammenhang der Angriff auf das Geschäft seines Vaters steht (act. A21/22 F22, F57 ff.), den er im Übrigen bei der ersten Anhörung in der Tat unerwähnt gelassen hat. Auch in Bezug auf die Art und Weise, wie der Beschwerdeführer von der Todesdrohung des E._______ gegen seine Person erfahren haben soll, sind seine Aussagen uneinheitlich ausgefallen (act. A21/22 F70 ff.). Es entspricht auch kaum der allgemeinen Erfahrung und Logik des Handelns, dass der Beschwerdeführer wegen eines gegen ein Mitglied des E._______ ausgesprochenen Schimpfwortes in ernstzunehmender Weise mit dem Tode bedroht worden sein soll (act. A19/29 F119 ff.; act. A21/22 F111). Soweit der E._______ sodann die Drohung ausgesprochen habe, er müsse die Stadt verlassen ansonsten werde er umgebracht, vermag dies nicht zu überzeugen. Insbesondere ist nicht ersichtlich, warum er sich aus diesem Grund auch in anderen Teilen der Türkei, beispielsweise auch in F._______ gefährdet gesehen hat (act. A21/22 F81 ff., F101).</w:t>
      </w:r>
    </w:p>
    <w:p>
      <w:r>
        <w:rPr>
          <w:b/>
        </w:rPr>
        <w:t>E. 7.7</w:t>
      </w:r>
    </w:p>
    <w:p>
      <w:r>
        <w:t>Zur selben Einschätzung gelangt das Gericht in Bezug auf den vom Beschwerdeführer geltend gemachten Versuch der Anwerbung für eine Spitzeltätigkeit. Diese soll gemäss Aussagen des Beschwerdeführers im Zusammenhang mit dem Konflikt mit dem E._______ stehen, welcher die Polizei dazu angestiftet haben soll. Zutreffend hat die Vorinstanz jedoch darauf verwiesen, dass sich der Bezug zwischen den als unglaubhaft zu erachtenden Problemen mit dem E._______ und dem Anwerbungsversuch als Spitzel nicht herstellen lässt und vom Beschwerdeführer auch nicht plausibel dargestellt werden konnte. Den Aussagen des Beschwerdeführers mangelt es sodann an substanziierten, objektiv nachvollziehbaren und mit Realkennzeichen versehenen Darstellungen. Auch auf Beschwerdeebene wurde nichts vorgebracht, das an dieser Einschätzung etwas zu ändern vermag.</w:t>
      </w:r>
    </w:p>
    <w:p>
      <w:r>
        <w:rPr>
          <w:b/>
        </w:rPr>
        <w:t>E. 7.8</w:t>
      </w:r>
    </w:p>
    <w:p>
      <w:r>
        <w:t>Nach dem Gesagten ist das Vorliegen von Vorfluchtgründen mangels Glaubhaftigkeit im Sinne von Art. 7 AsylG in Bezug auf die Vorfälle nach der Haftentlassung des Beschwerdeführers im März 2017 zu verneinen.</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Der Beschwerdeführer reichte erst auf Beschwerdestufe zahlreiche Beweismittel in Zusammenhang mit seinen exilpolitischen Aktivitäten ein. Dies betrifft insbesondere regimekritische Beiträge auf seinem Twitter-Profil und Demonstrationsteilnahmen. Gemäss Rechtsprechung des Bundesverwaltungsgerichtes kann davon ausgegangen werden, dass die Aktivitäten kurdischer Exilorganisationen oder einzelner Exponentinnen und Exponenten eines gewissen Formats von regimetreuen Bürgern oder im Ausland lebenden Behördenvertretern der Türkei beobachtet werden.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beispielsweise das Urteil des BVGer D-705/2018 vom 18. Februar 2019 E. 6.1.1 m.w.H.).</w:t>
      </w:r>
    </w:p>
    <w:p>
      <w:r>
        <w:rPr>
          <w:b/>
        </w:rPr>
        <w:t>E. 9.2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5.2 m.w.H.).</w:t>
      </w:r>
    </w:p>
    <w:p>
      <w:r>
        <w:rPr>
          <w:b/>
        </w:rPr>
        <w:t>E. 9.3</w:t>
      </w:r>
    </w:p>
    <w:p>
      <w:r>
        <w:t>Auf die teilweise neuen Sachverhaltselemente und die Beweismittel hat das SEM in seiner Vernehmlassung zwar rudimentär Bezug genommen. Sie sind jedoch im Kontext mit den aktuellen Entwicklungen in der Türkei sowie des persönlichen Profils des Beschwerdeführers (geltend gemachte frühere Tätigkeit für die HDP, verurteilter Straftäter) näher abzuklären und zu würdigen. Es erscheint nicht angebracht, die fehlende Entscheidungsreife auf Beschwerdeebene herzustellen. Dies rechtfertigt sich insbesondere auch angesichts dessen, dass das vorliegende Verfahren im beschleunigten Verfahren im Rahmen der Testphasenverordnung durchgeführt wurde. Somit erweist es sich als angezeigt, die Sache an die Vorinstanz zwecks Vornahme der erforderlichen Abklärungen und diesbezüglich zum neuen Entscheid zurückzuweisen.</w:t>
      </w:r>
    </w:p>
    <w:p>
      <w:r>
        <w:rPr>
          <w:b/>
        </w:rPr>
        <w:t>E. 10</w:t>
      </w:r>
    </w:p>
    <w:p>
      <w:r>
        <w:t>Zusammenfassend ist festzustellen, dass das Beschwerdeverfahren betreffend die Dispositivziffer 4 und 5 der angefochtenen Verfügung gegenstandslos geworden ist. Im Übrigen ergibt sich Folgendes: Die Vorinstanz hat zutreffend das Vorliegen von Vorfluchtgründen verneint, das Asylgesuch des Beschwerdeführers abgewiesen (Dispositivziffer 2) und die Wegweisung angeordnet (Dispositivziffer 3). In Bezug auf die geltend gemachten subjektiven Nachfluchtgründe, welche im Falle deren Bejahung lediglich zur Zuerkennung der Flüchtlingseigenschaft (Dispositivziffer 1) und zur Anordnung der vorläufigen Aufnahme als Flüchtling führen könnte, nicht jedoch zur Asylgewährung (Art. 54 AsylG), ist die Beschwerde im Sinne der Erwägungen 9 gutzuheissen. Die Verfügung ist diesbezüglich aufzuheben und die Sache an die Vorinstanz zurückzuweisen.</w:t>
      </w:r>
    </w:p>
    <w:p>
      <w:r>
        <w:rPr>
          <w:b/>
        </w:rPr>
        <w:t>E. 11.1</w:t>
      </w:r>
    </w:p>
    <w:p>
      <w:r>
        <w:t>Bei diesem Ausgang des Verfahrens sind aufgrund der mit Zwischenverfügung vom 12. Oktober 2018 gewährten unentgeltlichen Prozessführung keine Kosten zu erheben (Art. 63 Abs. 1 und 2 VwVG).</w:t>
      </w:r>
    </w:p>
    <w:p>
      <w:r>
        <w:rPr>
          <w:b/>
        </w:rPr>
        <w:t>E. 11.2</w:t>
      </w:r>
    </w:p>
    <w:p>
      <w:r>
        <w:t>Gemäss Art. 64 Abs. 1 VwVG kann der (teilweise)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Es wurde keine Kostennote eingereicht, weshalb die notwendigen Parteikosten aufgrund der Akten zu bestimmen sind (Art. 14 Abs. 2 in fine VGKE). Gestützt auf die in Betracht zu ziehenden Bemessungsfaktoren (Art. 9-13 VGKE) ist dem Beschwerdeführer unter Berücksichtigung seines teilweisen Unterliegensgrades und der von ihm bewirkten Gegenstandslosigkeit nach erfolgter Hochzeit zulasten der Vorinstanz eine Parteientschädigung von insgesamt Fr. 1'000.-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