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E-532/2013 vom 23. August 2013</w:t>
      </w:r>
    </w:p>
    <w:p>
      <w:r>
        <w:t>Bundesverwaltungsgericht, 2013-08-23, FR</w:t>
      </w:r>
    </w:p>
    <w:p>
      <w:r>
        <w:rPr>
          <w:b/>
        </w:rPr>
        <w:t xml:space="preserve">Quelle: </w:t>
      </w:r>
      <w:r>
        <w:t>https://mcp.opencaselaw.ch/entscheid/bvger_E-532_2013</w:t>
      </w:r>
    </w:p>
    <w:p>
      <w:r>
        <w:t>FR: TAF E-532/2013 du 23 août 2013</w:t>
      </w:r>
    </w:p>
    <w:p>
      <w:r>
        <w:t>IT: TAF E-532/2013 del 23 agosto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w:t>
      </w:r>
    </w:p>
    <w:p>
      <w:r>
        <w:t>Le recourant n'a pas recouru contre la décision de l'ODM en tant qu'elle ne reconnaît pas sa qualité de réfugié et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L'intéressé ne s'étant pas vu reconnaître la qualité de réfugié, le principe de non-refoulement (art. 5 LAsi) ne trouve pas directement application.</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 Tribunal relève que l'argumentation du recourant est dépourvue de pertinence, et repose en outre sur des éléments dont le manque de vraisemblance est patent.</w:t>
      </w:r>
    </w:p>
    <w:p>
      <w:r>
        <w:rPr>
          <w:b/>
        </w:rPr>
        <w:t>E. 5.5</w:t>
      </w:r>
    </w:p>
    <w:p>
      <w:r>
        <w:t>En premier lieu, il faut constater que les problèmes allégués par l'intéressé sont à mettre en relation avec la guerre qui a opposé, jusqu'en 2009, l'armée sri lankaise aux LTTE ; dans ce contexte, les personnes soupçonnées de relation avec ce mouvement pouvaient être interpellées et retenues par les militaires ou la police. La situation sécuritaire au Sri Lanka s'est depuis lors nettement améliorée et stabilisée (cf. UNHCR Eligibility Guidelines for Assessing the International Protection Needs of Asylum-Seekers from Sri Lanka, 5 juillet 2010, p. 1).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tout le pays, particulièrement dans le Nord et l'Est, territoires partiellement occupés par les LTTE durant la guerre civile (cf. ATAF 2011/24 consid. 7.1). En l'espèce, comme on le verra plus bas, l'intéressé n'a pas rendu crédible son appartenance à un groupe exposé à un risque de persécution de la part des autorités, n'apparaît pas de manière convaincante soupçonné de soutien aux LTTE et ne s'est jamais manifesté comme un critique actif du gouvernement, que ce soit au Sri Lanka ou en Suisse (cf. ATAF 2011/24 consid. 8 p. 493-498 ; arrêt du Tribunal E-5067/2012 du 6 juin 2013 consid. 5.1-5.2 et réf. citées) ; dès lors, il n'est donc pas vraisemblable qu'il soit exposé à des mesures violant l'art. 3 CEDH en cas de retour. La situation des droits de l'homme s'est certes détériorée depuis la fin des combats, notamment s'agissant de la liberté d'opinion et de la liberté de la presse. Ainsi, toute personne suspectée d'opposition politique peut être assimilée par le gouvernement à un ennemi de l'Etat (cf. ATAF précité consid. 6 et 7). Dans sa jurisprudence, le Tribunal a défini plusieurs groupes de personnes dits "à risque" susceptibles d'être exposées à des persécutions. Sont particulièrement visés des partisans (ou supposés tels) de l'ancien général Fonseka, des journalistes indépendants et critiques envers le gouvernement, des activistes en matière de droits de l'homme, des victimes ou témoins de graves violations des droits de l'homme durant le conflit, susceptibles d'en donner un écho négatif, ainsi que des femmes - particulièrement touchées par les violences d'ordre sexuel - et des enfants, parfois recrutés par le EPDP (Eelam People's Democratic Party) et le PLOTE (People's Liberation Organisation of Tamil Eelam). En outre, certains Tamouls, de retour d'exil, dont les autorités pourraient admettre, en fonction de circonstances particulières, qu'ils ont été en contact étroit avec des cadres des LTTE à l'étranger, peuvent se prévaloir d'une crainte objectivement fondée de sérieux préjudices (cf. ATAF précité consid. 8.1 à 8.5). Dans le cas présent, le recourant n'apparaît toutefois faire partie d'aucune de ces catégories ; il n'est donc pas crédible qu'il court un risque particulier de mauvais traitements en cas de retour au Sri Lanka.</w:t>
      </w:r>
    </w:p>
    <w:p>
      <w:r>
        <w:rPr>
          <w:b/>
        </w:rPr>
        <w:t>E. 5.6</w:t>
      </w:r>
    </w:p>
    <w:p>
      <w:r>
        <w:t>En outre, le récit de l'intéressé comporte plusieurs points invraisemblables, de nature à lui enlever sa crédibilité. Il est ainsi peu crédible que l'intéressé, qui n'a eu lui-même pour les LTTE qu'un engagement restreint (que les autorités semblent d'ailleurs n'avoir pas ou peu connu), soit aujourd'hui encore menacé en raison des activités de son frère, disparu depuis maintenant sept ans. Le Tribunal observe également que le récit pèche par un manque de clarté dans sa chronologie (ainsi, au sujet de la durée du séjour à E._______), bien que le recourant ait décrit, dans ses auditions, des événements encore très récents ; le fait d'invoquer, dans son acte de recours, des pertes de mémoire, ne suffit pas à justifier cette carence. Par ailleurs, la description qu'a faite le recourant de ses arrestations - qui constituent le motif essentiel de sa demande - n'est pas convaincante. Il a successivement affirmé que la découverte d'une moto appartenant à son frère avait entraîné sa deuxième interpellation, puis qu'il s'agissait de la première ; quant à la troisième arrestation, survenue à Colombo, l'intéressé s'est contredit au sujet de sa date, comme de sa durée. A cela s'ajoute qu'il aurait été, en chaque occasion, relâché sans difficultés, à la suite des démarches de personnes privées, et en ne restant soumis qu'à des mesures de surveillance très légères, voire sans obligation ; si le recourant avait réellement été soupçonné de soutien aux LTTE, dans la situation qui prévalait alors au Sri Lanka, une telle issue n'aurait pu se concrétiser. Dans ce contexte, les allégations du récit quant à des recherches par des civils, à l'affiliation et aux intentions peu claires, n'emportent pas la conviction. Enfin, le fait que l'intéressé soit resté durant une année en Thaïlande, sans se préoccuper d'y demander protection ni d'accélérer son départ vers la Suisse, tend également à indiquer qu'il ne se sentait pas menacé de manière pressante.</w:t>
      </w:r>
    </w:p>
    <w:p>
      <w:r>
        <w:rPr>
          <w:b/>
        </w:rPr>
        <w:t>E. 5.7</w:t>
      </w:r>
    </w:p>
    <w:p>
      <w:r>
        <w:t>Par ailleurs, aucune des preuves déposées par le recourant n'a de portée décisive. Les deux cartes émises par le HRC ne font aucune mention des raisons de leur délivrance. S'agissant du certificat de décès de F._______, il ne permet pas de connaître les circonstances de la disparition de celui-ci, faute de traduction de la mention des causes de la mort. Quant à la transcription des dires de la mère du recourant devant le CICR (attestation du 17 janvier 2011), elle ne fait état que d'éléments trop vagues pour permettre une conclusion. Par ailleurs, les déclarations de la mère aux CID (du 26 janvier 2010) se réfèrent à la disparition du frère de l'intéressé, et ne le concernent pas personnellement ; la date de cette disparition, telle qu'indiquée, ne correspond d'ailleurs pas à celle qu'a articulée le recourant. Enfin, les six attestations émanant de tiers qui n'ont pas assisté aux événements, rédigées en termes très généraux, produites très tardivement et, manifestement, à la demande de l'intéressé lui-même, ne peuvent être lavées du soupçon de complaisance.</w:t>
      </w:r>
    </w:p>
    <w:p>
      <w:r>
        <w:rPr>
          <w:b/>
        </w:rPr>
        <w:t>E. 5.8</w:t>
      </w:r>
    </w:p>
    <w:p>
      <w:r>
        <w:t>Dès lors, l'exécution du renvoi du recourant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6.2</w:t>
      </w:r>
    </w:p>
    <w:p>
      <w:r>
        <w:t>Dans l'arrêt de principe publié sous ATAF 2011/24, le Tribunal a procédé à une nouvelle analyse circonstanciée de la situation au Sri Lanka. Il est arrivé à la conclusion, vu en particulier l'amélioration de la situation sécuritaire depuis la fin du conflit entre l'armée sri-lankaise et les LTTE, en mai 2009, que l'exécution du renvoi peut, en principe, être raison-nablement exigée vers toute la province de l'Est (cf. consid. 13.1 13.2). S'agissant de la province du Nord, l'exécution du renvoi est également considérée comme raisonnablement exigible en principe, à l'exception de la région du Vanni, pour laquelle une possibilité de refuge interne dans une autre région du Sri Lanka doit être examinée (cf. consid. 13.2.2 et 13.2.2.3 i.f.). En revanche, un retour dans la région de Colombo est en principe exigible (consid. 13.3 p. 513). Le recourant étant originaire de la province de Jaffna, l'exécution de son renvoi est donc, dans son principe, raisonnablement exigible.</w:t>
      </w:r>
    </w:p>
    <w:p>
      <w:r>
        <w:rPr>
          <w:b/>
        </w:rPr>
        <w:t>E. 6.3</w:t>
      </w:r>
    </w:p>
    <w:p>
      <w:r>
        <w:t>En outre, il ne ressort du dossier aucun élément dont on pourrait inférer que l'exécution du renvoi impliquerait une mise en danger concrète de l'intéressé. A cet égard, l'autorité de céans relève qu'il est jeune, au bénéfice d'une expérience professionnelle d'électricien, sans charge de famille et n'a pas allégué de problème de santé particulier.</w:t>
      </w:r>
    </w:p>
    <w:p>
      <w:r>
        <w:rPr>
          <w:b/>
        </w:rPr>
        <w:t>E. 6.4</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8</w:t>
      </w:r>
    </w:p>
    <w:p>
      <w:r>
        <w:t>Il s'ensuit que le recours doit être rejeté.</w:t>
      </w:r>
    </w:p>
    <w:p>
      <w:r>
        <w:rPr>
          <w:b/>
        </w:rPr>
        <w:t>E. 9</w:t>
      </w:r>
    </w:p>
    <w:p>
      <w:r>
        <w:t>Le Tribunal fait droit à la requête du recourant et admet la demande d'assistance judiciaire partielle, compte tenu de son incapacité à assumer les frais de la procédure (cf. attestation d'assistance de l'autorité cantonale jointe au recours, datée du 24 janvier 2013)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