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E-5324/2025 vom 17. Juni 2025</w:t>
      </w:r>
    </w:p>
    <w:p>
      <w:r>
        <w:t>Bundesverwaltungsgericht, 2025-06-17, DE</w:t>
      </w:r>
    </w:p>
    <w:p>
      <w:r>
        <w:rPr>
          <w:b/>
        </w:rPr>
        <w:t xml:space="preserve">Quelle: </w:t>
      </w:r>
      <w:r>
        <w:t>https://mcp.opencaselaw.ch/entscheid/bvger_E-5324_2025_d20250617</w:t>
      </w:r>
    </w:p>
    <w:p>
      <w:r>
        <w:t>FR: TAF E-5324/2025 du 17 juin 2025</w:t>
      </w:r>
    </w:p>
    <w:p>
      <w:r>
        <w:t>IT: TAF E-5324/2025 del 17 giugno 2025</w:t>
      </w:r>
    </w:p>
    <w:p>
      <w:pPr>
        <w:pStyle w:val="Heading2"/>
      </w:pPr>
      <w:r>
        <w:t>Regeste</w:t>
      </w:r>
    </w:p>
    <w:p>
      <w:r>
        <w:t>Asyl und Wegweisung | Asyl und Wegweisung; Verfügung des SEM vom 17. Juni 2025</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w:t>
      </w:r>
    </w:p>
    <w:p>
      <w:r>
        <w:rPr>
          <w:b/>
        </w:rPr>
        <w:t>E. 1.3</w:t>
      </w:r>
    </w:p>
    <w:p>
      <w:r>
        <w:t>Auf die Beschwerde ist einzutreten, nachdem auch der Kostenvor- schuss fristgerecht geleistet worden ist.</w:t>
      </w:r>
    </w:p>
    <w:p>
      <w:r>
        <w:rPr>
          <w:b/>
        </w:rPr>
        <w:t>E. 2</w:t>
      </w:r>
    </w:p>
    <w:p>
      <w:r>
        <w:t>Die Kognition des Bundesverwaltungsgerichts und die zulässigen Rügen richten sich im Asylbereich nach Art. 106 Abs. 1 AsylG, im Bereich des Aus- länderrechts nach Art. 49 VwVG (vgl. BVGE 2014/26 E. 5).</w:t>
      </w:r>
    </w:p>
    <w:p>
      <w:r>
        <w:t>E-5324/2025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Die Vorinstanz hielt zur Begründung ihrer Verfügung im Wesentlichen Folgendes fest:</w:t>
      </w:r>
    </w:p>
    <w:p>
      <w:r>
        <w:rPr>
          <w:b/>
        </w:rPr>
        <w:t>E. 4.1.1</w:t>
      </w:r>
    </w:p>
    <w:p>
      <w:r>
        <w:t>Aus den eingereichten Dokumenten gehe hervor, dass gegen den Beschwerdeführer Ermittlungsverfahren wegen Propaganda für eine Terrororganisation (Art. 7 Abs. 2 Antiterrorgesetz, ATG) respektive Beleidi- gung des Staatspräsidenten (Art. 299 tStGB) eröffnet worden seien, dass in beiden Verfahren Vorführbefehle erlassen worden seien, und im zweit- genannten Verfahren Anklage erhoben worden sei. Die vom Bundesver- waltungsgericht formulierten Kriterien für eine flüchtlingsrechtliche Rele- vanz eines staatsanwaltschaftlichen Ermittlungsverfahrens wegen der ge- nannten Straftatbestände seien nicht erfüllt. Da der Beschwerdeführer strafrechtlich nicht vorbelastet sei und kein relevantes politisches Profil auf- weise, bestehe für ihn keine beachtliche Wahrscheinlichkeit, zu einer un- bedingten Freiheitsstrafe verurteilt zu werden. Ausserdem seien keine Hin- weise auf eine in absehbarer Zukunft drohende Untersuchungshaft erkenn- bar. Das Risiko des Beschwerdeführers, bei der Einreise in die Türkei fest- genommen und inhaftiert zu werden, sei als gering einzustufen. Dies gelte auch für das Verfahren, in welchem er als Zeuge vorgeladen sei. Eine allfällige Freiheitsstrafe wegen der ihm zur Last gelegten Straftatbestände müsste der Beschwerdeführer sehr wahrscheinlich nicht in Haft verbüssen. Zudem seien die ihm zur Last gelegten Vorwürfe angesichts des Inhalts der von ihm geposteten Beiträge nicht offensichtlich haltlos. Die Einleitung eines Strafverfahrens sei als rechtsstaatlich legitim zu qualifizieren. Schliesslich stünden die vom Beschwerdeführer geposteten Beiträge in en- gem zeitlichem Zusammenhang mit seiner Ausreise und der Einleitung der Strafverfahren. Er vermittle nicht den Eindruck eines politischen Aktivisten und sein Engagement sei nicht auf grosse Resonanz gestossen. Diese Umstände würden darauf schliessen lassen, dass er die gegen ihn hängi- gen Strafverfahren bewusst eingeleitet habe oder habe einleiten lassen, um subjektive Nachfluchtgründe zu begründen, was als Rechtsmissbrauch</w:t>
      </w:r>
    </w:p>
    <w:p>
      <w:r>
        <w:t>E-5324/2025 Seite 6 zu bewerten wäre, der keinen Rechtsschutz verdienen würde. Nach dem Gesagten habe der Beschwerdeführer nicht mit erheblicher Wahrschein- lichkeit eine flüchtlingsrechtlich relevante Verfolgung aufgrund der vorge- brachten Strafverfahren zu befürchten.</w:t>
      </w:r>
    </w:p>
    <w:p>
      <w:r>
        <w:rPr>
          <w:b/>
        </w:rPr>
        <w:t>E. 4.1.2</w:t>
      </w:r>
    </w:p>
    <w:p>
      <w:r>
        <w:t>Im Übrigen würden die von ihm vorgebrachten Benachteiligungen und Schikanen wegen seiner Zugehörigkeit zur kurdischen Ethnie in ihrer Intensität nicht über die Nachteile hinausgehen, denen weite Teile der kur- dischen Bevölkerung ausgesetzt sein könnten. Es handle sich nicht um ernsthafte Nachteile im Sinne von Art. 3 AsylG. Die allgemeine Situation der kurdischen Bevölkerung in der Türkei führe gemäss gefestigter Praxis für sich allein nicht zur Anerkennung der Flüchtlingseigenschaft.</w:t>
      </w:r>
    </w:p>
    <w:p>
      <w:r>
        <w:rPr>
          <w:b/>
        </w:rPr>
        <w:t>E. 4.1.3</w:t>
      </w:r>
    </w:p>
    <w:p>
      <w:r>
        <w:t>Schliesslich erweise sich der Vollzug der Wegweisung als zulässig, zumutbar und möglich</w:t>
      </w:r>
    </w:p>
    <w:p>
      <w:r>
        <w:rPr>
          <w:b/>
        </w:rPr>
        <w:t>E. 4.2</w:t>
      </w:r>
    </w:p>
    <w:p>
      <w:r>
        <w:t>Zur Begründung der Beschwerde wurde im Wesentlichen daran fest- gehalten, dass sich aus den gegen den Beschwerdeführer in der Türkei eingeleiteten Ermittlungsverfahren, die politisch motiviert seien, eine be- gründete Furcht vor asylrechtlich relevanter Verfolgung ergebe. Dies werde durch die polizeilichen Fahndungsmassnahmen und Nachforschungen in seinem familiären Umfeld belegt. Die von ihm vorgelegten Social-Media- Posts seien sehr wohl ein Ausdruck einer oppositionellen politischen Hal- tung. Ob er eine exponierte politische Rolle eingenommen habe und ob er in der Vergangenheit bereits Verfolgungsmassnahmen erlitten habe, sei nicht entscheidend. Das Risiko einer Verurteilung sei durchaus real. Dies ergebe sich namentlich aus dem gegen ihn ausgestellten, bisher nicht voll- streckten gerichtlichen Vorführbefehl. Die Einschätzung des SEM ver- kenne die tatsächliche Praxis der türkischen Strafverfolgungsbehörden so- wie die Rechtsprechung des Bundesverwaltungsgerichts und des Europä- ischen Gerichtshofs für Menschenrechte (EGMR). Die von der Vorinstanz geäusserten Zweifel an seiner Glaubhaftigkeit seien nicht gerechtfertigt. Sein Verfolgungsrisiko werde erhöht durch die Herkunft aus einer kurdisch- alevitischen Familie, die bereits früher ins Visier staatlicher Stellen geraten sei. Er habe den Kontakt zu seiner Familie abgebrochen, weil diese durch Nachforschungen der Sicherheitskräfte unter Druck geraten sei. Da die ge- gen ihn eingeleiteten Strafverfahren zentral erfasst seien, stehe ihm ferner keine innerstaatliche Fluchtalternative offen.</w:t>
      </w:r>
    </w:p>
    <w:p>
      <w:r>
        <w:t>E-5324/2025 Seite 7</w:t>
      </w:r>
    </w:p>
    <w:p>
      <w:r>
        <w:rPr>
          <w:b/>
        </w:rPr>
        <w:t>E. 5.1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6.1</w:t>
      </w:r>
    </w:p>
    <w:p>
      <w:r>
        <w:t>Nach Prüfung der Akten kommt das Bundesverwaltungsgericht zum Schluss, dass die vorinstanzliche Verfügung zu bestätigen ist. Der in der Beschwerde erhobene Einwand, die Beurteilung der Vorbringen des Beschwerdeführers durch das SEM widerspreche der einschlägigen natio- nalen und internationalen Rechtsprechung erweist sich als nicht zutreffend.</w:t>
      </w:r>
    </w:p>
    <w:p>
      <w:r>
        <w:rPr>
          <w:b/>
        </w:rPr>
        <w:t>E. 6.2</w:t>
      </w:r>
    </w:p>
    <w:p>
      <w:r>
        <w:t>Gemäss Einschätzung des Gerichts lässt sich alleine aus der Hängig- keit staatsanwaltschaftlicher Ermittlungsverfahren in der Türkei wegen Prä- sidentenbeleidigung (Art. 299 tStGB) oder wegen Propaganda für eine ter- roristische Organisation (Art. 7 Abs. 2 ATG) – auch kombiniert – keine be- gründete Furcht vor Verfolgungsmassnahmen gemäss Art. 3 AsylG ablei- ten. Vielmehr würde dies zusätzliche Risikofaktoren wie etwa das Vorliegen einschlägiger Vorstrafen oder ein exponiertes politisches Profil vorausset- zen (vgl. Referenzurteil BVGer E-4103/2024 vom 8. November 2024 E. 8). Derzeit ist völlig offen, ob das zuständige Gericht die Anklage gegen den Beschwerdeführer als begründet erachten und ein Gerichtsverfahren ge- gen ihn eröffnen wird, ob er in der Folge (aus flüchtlingsrechtlich relevanten Motiven) zu einer Strafe (flüchtlingsrechtlich relevanter Intensität) verurteilt würde und ob ein solches Urteil vor den türkischen Rechtsmittelinstanzen bestehen könnte. Besondere Risikofaktoren im obengenannten Sinne sind beim Beschwerdeführer nicht erkennbar. Er wurde bis zum heutigen Zeit-</w:t>
      </w:r>
    </w:p>
    <w:p>
      <w:r>
        <w:t>E-5324/2025 Seite 8 punkt noch nie verurteilt und ist damit strafrechtlich nicht vorbelastet. Zudem ergeben sich aus den Akten keine Anhaltspunkte dafür, dass er ein nennenswertes politisches Profil aufweist, das sich im Rahmen der straf- rechtlichen Beurteilung der hängigen Verfahren negativ auswirken könnte. Schliesslich gibt es keine stichhaltigen Gründe für die Annahme, dass Per- sonen, die in der Türkei von Social-Media-Ermittlungsverfahren betroffen sind, generell einen Politmalus zu befürchten haben (vgl. Referenzurteil E-4103/2024 a.a.O. E. 8.7.3; statt vieler Urteile des BVGer D-302/2024 vom 17. März 2025 E. 6.2.5, E-7003/2024 vom 13. Februar 2025 E. 6.3).</w:t>
      </w:r>
    </w:p>
    <w:p>
      <w:r>
        <w:rPr>
          <w:b/>
        </w:rPr>
        <w:t>E. 6.3</w:t>
      </w:r>
    </w:p>
    <w:p>
      <w:r>
        <w:t>Bei dieser Sachlage kann offenbleiben, ob die vom Beschwerdeführer eingereichten Verfahrensunterlagen authentisch sind und ob er gegebe- nenfalls die in der Türkei hängigen Ermittlungsverfahren bewusst eingelei- tet hat, um in rechtsmissbräuchlicher Absicht subjektive Nachfluchtgründe zu begründen und einen Schutzstatus in der Schweiz zu erlangen.</w:t>
      </w:r>
    </w:p>
    <w:p>
      <w:r>
        <w:rPr>
          <w:b/>
        </w:rPr>
        <w:t>E. 6.4</w:t>
      </w:r>
    </w:p>
    <w:p>
      <w:r>
        <w:t>Im Übrigen sind die für die Annahme einer Kollektivverfolgung praxis- gemäss strengen Anforderungen (vgl. BVGE 2014/32 E. 6.1; 2013/12 E. 6) im Falle der Kurden und Personen alevitischen Glaubens in der Türkei nicht erfüllt. Diese Einschätzung bleibt trotz der sich seit dem Putsch- versuch von 2016 verschlechternden Situation der Menschenrechte in der Türkei gültig (vgl. Referenzurteil E-4103/2024 a.a.O. E. 7.1).</w:t>
      </w:r>
    </w:p>
    <w:p>
      <w:r>
        <w:rPr>
          <w:b/>
        </w:rPr>
        <w:t>E. 6.5</w:t>
      </w:r>
    </w:p>
    <w:p>
      <w:r>
        <w:t>Nach dem Gesagten ist es dem Beschwerdeführer nicht gelungen, eine relevante Verfolgungsgefahr im Sinn von Art. 3 AsylG darzutun. Daran ver- mögen weder das mit der Beschwerdeschrift eingereichte Gerichtsproto- koll noch die Ausführungen in der Beschwerdeschrift etwas zu ändern. In Letzteren wird ‒ unter Verweis auf Berichte von Nichtregierungsorganisa- tionen sowie Entscheide des Europäischen Gerichtshofs für Menschen- rechte (EGMR), die allerdings offenbar im Wesentlichen aus der Zeit vor dem Referenzurteil vom 8. November 2024 datieren ‒ im Wesentlichen die Einschätzung der Vorinstanz hinsichtlich des Vorgehens der türkischen Justizbehörden und des Gefährdungsprofils des Beschwerdeführers be- stritten. Das SEM hat folglich zu Recht seine Flüchtlingseigenschaft ver- neint und sein Asylgesuch abgelehnt.</w:t>
      </w:r>
    </w:p>
    <w:p>
      <w:r>
        <w:rPr>
          <w:b/>
        </w:rPr>
        <w:t>E. 6.6</w:t>
      </w:r>
    </w:p>
    <w:p>
      <w:r>
        <w:t>Gründe für die subeventualiter beantragte Rückweisung der Sache an die Vorinstanz sind den Akten ebenfalls nicht zu entnehmen und wurden in der Beschwerde nicht substanziiert dargetan. Dieses Begehren ist somit abzuweisen.</w:t>
      </w:r>
    </w:p>
    <w:p>
      <w:r>
        <w:t>E-5324/2025 Seite 9</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E-5324/2025 Seite 10</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 führers noch aus den Akten Anhaltspunkte dafür, dass er für den Fall einer Ausschaffung in den Heimatstaat dort mit beachtlicher Wahrscheinlichkeit einer nach Art. 3 EMRK oder Art. 1 FoK verbotenen Strafe oder Behand- lung ausgesetzt wäre. Gemäss der Praxis EGMR sowie jener des UN-Anti- Folterausschusses müsste der Beschwerdeführer eine konkrete Gefahr ("real risk") nachweisen oder glaubhaft machen, dass ihm im Fall einer Rückschiebung Folter oder unmenschliche Behandlung drohen würde (vgl. Urteil des EGMR Saadi gegen Italien vom 28. Februar 2008, Grosse Kam- mer 37201/06, §§ 124–127 m.w.H.). Nach den vorstehenden Ausführun- gen gelingt ihm dies nicht. Auch die allgemeine Menschenrechtssituation im Heimatstaat lässt den Wegweisungsvollzug zum heutigen Zeitpunkt nicht als unzulässig erscheinen.</w:t>
      </w:r>
    </w:p>
    <w:p>
      <w:r>
        <w:rPr>
          <w:b/>
        </w:rPr>
        <w:t>E. 8.2.6</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der Entwicklungen nach dem Putsch- versuch vom Juli 2016 ist gemäss konstanter Praxis des Bundesverwal- tungsgerichts – auch für Angehörige der kurdischen Ethnie – nicht von ei- ner Situation allgemeiner Gewalt oder bürgerkriegsähnlichen Verhältnissen in der gesamten Türkei auszugehen (vgl. Referenzurteil E-4103/2024 a.a.O. E. 13.2 m.w.H.).</w:t>
      </w:r>
    </w:p>
    <w:p>
      <w:r>
        <w:t>E-5324/2025 Seite 11</w:t>
      </w:r>
    </w:p>
    <w:p>
      <w:r>
        <w:rPr>
          <w:b/>
        </w:rPr>
        <w:t>E. 8.3.3</w:t>
      </w:r>
    </w:p>
    <w:p>
      <w:r>
        <w:t>Ferner sprechen keine individuellen Gründe gegen einen Vollzug der Wegweisung. Aus den Akten ergeben sich keine Gründe zur Annahme, dass der Beschwerdeführer bei einer Rückkehr in den Heimatstaat aus wirtschaftlichen, sozialen oder gesundheitlichen Gründen in eine existenz- bedrohende Situation geraten wird.</w:t>
      </w:r>
    </w:p>
    <w:p>
      <w:r>
        <w:rPr>
          <w:b/>
        </w:rPr>
        <w:t>E. 8.3.4</w:t>
      </w:r>
    </w:p>
    <w:p>
      <w:r>
        <w:t>Nach dem Gesagten erweist sich der Vollzug der Wegweisung auch als zumutbar.</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Der in gleicher Höhe geleistete Kostenvorschuss ist zur Begleichung dieser Kosten zu verwenden.</w:t>
      </w:r>
    </w:p>
    <w:p>
      <w:r>
        <w:t>(Dispositiv nächste Seite)</w:t>
      </w:r>
    </w:p>
    <w:p>
      <w:r>
        <w:t>E-5324/2025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