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E-5323/2016 vom 20. Oktober 2016</w:t>
      </w:r>
    </w:p>
    <w:p>
      <w:r>
        <w:t>Bundesverwaltungsgericht, 2016-10-20, DE</w:t>
      </w:r>
    </w:p>
    <w:p>
      <w:r>
        <w:rPr>
          <w:b/>
        </w:rPr>
        <w:t xml:space="preserve">Quelle: </w:t>
      </w:r>
      <w:r>
        <w:t>https://mcp.opencaselaw.ch/entscheid/bvger_E-5323_2016</w:t>
      </w:r>
    </w:p>
    <w:p>
      <w:r>
        <w:t>FR: TAF E-5323/2016 du 20 octobre 2016</w:t>
      </w:r>
    </w:p>
    <w:p>
      <w:r>
        <w:t>IT: TAF E-5323/2016 del 20 ottobre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Flüchtlingen wird nach Art. 54 AsylG kein Asyl gewährt, wenn sie erst durch ihre Ausreise aus dem Heimat- oder Herkunftsstaat oder wegen ihres Verhaltens nach der Ausreise Flüchtlinge im Sinne von Art. 3 AsylG wurden (subjektive Nachfluchtgründe).</w:t>
      </w:r>
    </w:p>
    <w:p>
      <w:r>
        <w:rPr>
          <w:b/>
        </w:rPr>
        <w:t>E. 3.3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3.4</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(Entscheidungen und Mitteilungen der Schweizerischen Asylrekurskommission [EMARK] 1993/3 E. 3 S. 13).</w:t>
      </w:r>
    </w:p>
    <w:p>
      <w:r>
        <w:rPr>
          <w:b/>
        </w:rPr>
        <w:t>E. 4</w:t>
      </w:r>
    </w:p>
    <w:p>
      <w:r>
        <w:t>Die Vorinstanz hat den Massstab des Glaubhaftmachens nicht verkannt und auf den vorliegenden Fall korrekt angewendet. Ihre Schlussfolgerungen sind weder in tatsächlicher noch in rechtlicher Hinsicht zu beanstanden. In der angefochtenen Verfügung wird einlässlich begründet, weshalb die Aussagen widersprüchlich und unglaubhaft ausgefallen sind. Die Rechtsmitteleingabe erschöpft sich in spärlichen Erklärungsversuchen, womit sie nicht aufzeigt, inwiefern die vorinstanzliche Beweiswürdigung Bundesrecht verletzen oder zu einer rechtsfehlerhaften Sachverhaltsfeststellung führen soll. Solches ist auch nicht ersichtlich. Im Zentrum der Fluchtgeschichte stehen die beiden Festnahmen und die angebliche Mitgliedschaft bei Ginbot 7. Zwischen diesen (Festnahmen beide 2005, Mitgliedschaft ab 2008/2009) und der Ausreise (Juni 2012) liegen jedoch sieben respektive drei Jahre, womit der Kausalzusammenhang nicht gegeben und den weiteren Vorbringen der Boden entzogen ist (zu den modernen und effizienten Überwachungsmethoden der äthiopischen Behörden gegen Mitglieder der Ginbot 7 Urteil des BVGer D-5809/2014 vom 17. März 2016). Hinzu kommt, dass sich der Beschwerdeführer - wie von der Vorinstanz richtig erkannt - in einer Vielzahl von Widersprüchen verstrickt. So will er gemäss Erstbefragung im Mai 2005 Flugblätter verteilt haben (SEM-Akten, A6, S. 7), erinnert sich in der Zweitbefragung hieran aber nicht und verneint dies sogar ausdrücklich (SEM-Akten, A13, S. 15 f., F142 ff., insb. F146). Auch steht die Aussage "sie haben mich nur zu Hause geschlagen" der Ausführung "auf dem Weg ... haben sie mich geschlagen" entgegen (SEM-Akten, A13, S. S. 12, F115 und S. 15, F141 gegen SEM-Akten, A6, S. 8). Es gelingt ihm weder anlässlich der Zweitbefragung noch auf Beschwerdeebene Widersprüche wie diese aufzulösen (SEM-Akten, A13, S. 18, F172, S. 18, F171, Beschwerde S. 2 f.). Es genügt mithin nicht aufzuzählen, was er anlässlich seiner Schilderungen als "logisch" empfunden hat (Beschwerde S. 3). Weitere Erklärungsversuche gehen ebenso ins Leere. So wird behauptet, der Beschwerdeführer habe in der Erstbefragung nur kurz erzählen können, es sei nicht nachgefragt worden (Beschwerde S. 3). Das Gegenteil trifft zu. So wurde die einleitende Frage zu den Asylgründen offen und korrekt gestellt und folgten weitere 21 Fragen hierzu (SEM-Akten, A6, S. 7 ff.). Hinzu kommt, dass der Beschwerdeführer seit 2008/2009 Flugblätter der Partei an Regierungsgegner verteilt und dennoch erst über drei Jahre später via SMS über die behördliche Suche erfahren haben will. Selbst zum Inhalt dieser SMS widerspricht er sich, obwohl er - wie auf Beschwerdeebene bestätigt (Beschwerde S. 3) - Äthiopien schlussendlich aufgrund dieser SMS verlassen haben will. So beinhaltete diese SMS gemäss Erstbefragung unter anderem die Information, dass seine Freunde bei der Polizei seinen Namen verraten hätten (SEM-Akten, A6, S. 8). Hieran erinnert er sich in der Zweitbefragung - trotz mehrmaliger Nachfrage - nicht (SEM-Akten, A13, S. 7, F68 ff. und S. 9, F83). Bei all diesen Beispielen handelt es sich um klar asylrelevante Aussagen, die in der Erstbefragung von den späteren Aussagen diametral abweichen, mithin um Widersprüche, die im Rahmen der Beweiswürdigung zu berücksichtigen sind (Entscheidungen und Mitteilungen der Schweizerischen Asylrekurskommission [EMARK] 1993/3 E. 3 S. 13). Schliesslich wird die offensichtliche Unglaubhaftigkeit durch die oberflächlichen und unsubstantiierten Aussagen im Verlauf der Zweit- und Drittbefragung untermauert. Auch gehen die hiergegen getätigten oberflächlichen Beschwerdeausführungen - zum Beispiel, es gehe aus dem Protokoll hervor, dass der Beschwerdeführer offensichtlich der Meinung gewesen sei, er müsse genau die Fragen beantworten (Beschwerde S. 4) - ins Leere. Um Wiederholungen zu vermeiden, ist auf die zutreffenden Ausführungen der Vorinstanz zu verweisen, die zu Recht das Vorliegen glaubhafter Vorfluchtgründe verneint. Was die exilpolitischen Aktivitäten anbelangt, zeichnet sich kein anderes Bild ab. Die äthiopischen Sicherheitsbehörden haben in jüngster Zeit die Beobachtung der Aktivisten der Exilgemeinschaften verstärkt. So setzt der äthiopische Staat gemäss verschiedener Berichte modernste Software ein, um die Telekommunikation der oppositionellen Bewegungen auch im Ausland zu überwachen (zum Ganzen vgl. Urteil des Bundesverwaltungsgerichts D-5809/2014 vom 17. März 2016 mit Hinweisen). Unter diesen Umständen ist anzunehmen, dass im Ausland agierende Personen äthiopischer Herkunft, die erkennbar in oppositionellen Organisationen aktiv sind oder mit solchen sympathisieren, identifiziert werden können und im Falle einer zwangsweisen Rückschaffung den äthiopischen Sicherheitsbehörden bereits am Flughafen bekannt wären. Das Bundesverwaltungsgericht geht davon aus, dass sich die äthiopischen Sicherheitskräfte auf die Erfassung von Personen konzentrieren, die über niedrigprofilierte Erscheinungsformen exilpolitischer Proteste hinaus Funktionen wahrgenommen und/oder Aktivitäten entwickelt haben, welche die betreffende Person als ernsthaften und potenziell gefährlichen Regimegegner erscheinen lassen (Urteil des BVGer E-4590/2016 vom 29. August 2016 E. 7.2). Der Beschwerdeführer reichte im vorinstanzlichen Verfahren Fotos ein, die ihn an verschiedenen exilpolitischen Anlässen zeigen. Keines dieser Fotos lässt jedoch auf ein Profil schliessen, das über niedrigprofilierte Erscheinungsformen exilpolitischer Proteste und Teilnahmen an Veranstaltungen hinausgeht und den Beschwerdeführer als einen potentiell gefährlichen Regimegegner erscheinen lassen würden. Hinzu kommt, dass die beiden Mitgliedschaftsbestätigungen - denen ohnehin keine erhöhte Beweiskraft zukommt - nicht mit den Tätigkeitsbeschreibungen des Beschwerdeführers übereinstimmen und nicht über Standardbestätigungsschreiben hinausgehen. Die Aussagen des Beschwerdeführers lassen keine andere Schlussfolgerung zu. So genügt es nicht, entsprechende Schreiben, Fotos und weitere Unterlagen ins Recht zu legen und auf diese zu verweisen, ohne selbst die Strukturen, Ziele oder politischen Gegebenheiten überzeugend darlegen zu können (SEM-Akten, A33, S. 4 ff.). Zumindest hinterlässt dies kein Bild eines Mitglieds in exponierter Schlüsselfunktion. Die Vorinstanz hat folgerichtig neben den Vorfluchtgründen auch das Vorliegen von Nachfluchtgründen verneint.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der Beschwerde noch aus den Akten ergeben sich konkrete Anhaltspunkte dafür, dass der Beschwerdeführer für den Fall einer Ausschaffung in sein Heimatland dort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Der konstanten Praxis zufolge ist von der Zumutbarkeit des Wegweisungsvollzugs nach Äthiopien auszugehen (statt vieler BVGE 2011/25 E. 8.3, so auch bereits Entscheidungen und Mitteilungen der schweizerischen Asylrekurskommission [EMARK] 1998 Nr. 22). Es liegen auch keine individuellen Wegweisungshindernisse vor. So lebte der Beschwerdeführer von Geburt bis zur Ausreise über 30 Jahre in B._______, wo er eine 12-jährige Schulbildung erhalten und neunjährige Berufserfahrung als (...) gesammelt hat (SEM-Akten, A6, S. 4). Was sein Beziehungsnetz anbelangt, ist der Vorinstanz darin beizupflichten, dass die entsprechenden Ausführungen unglaubhaft ausgefallen sind, mithin von einem intakten Beziehungsnetzes auszugehen ist. Aufgrund seines Lebenslaufs wäre der gesunde und längst volljährige Beschwerdeführer - der selbstständig die gesamte Reise von Äthiopien bis in die Schweiz bewältigt hat - ohnehin nicht auf ein solches angewiesen. Was sein exilpolitisches Engagement anbelangt, geht dieses nicht über niedrigprofilierte Erscheinungsformen exilpolitischer Proteste und Teilnahmen an Veranstaltungen hinaus, die ihn bei einer Rückkehr als einen potentiell gefährlichen Regimegegner erscheinen lassen würden (E. 4). Der Vollzug der Wegweisung ist zumutbar.</w:t>
      </w:r>
    </w:p>
    <w:p>
      <w:r>
        <w:rPr>
          <w:b/>
        </w:rPr>
        <w:t>E. 6.4</w:t>
      </w:r>
    </w:p>
    <w:p>
      <w:r>
        <w:t>Nach Art. 83 Abs. 2 AuG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6.5</w:t>
      </w:r>
    </w:p>
    <w:p>
      <w:r>
        <w:t>Die Vorinstanz hat den Vollzug demnach zu Recht als zulässig, zumutbar und möglich erachtet.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AsylG). Die Beschwerde ist abzuweisen.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