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E-5322/2009 vom 6. März 2012</w:t>
      </w:r>
    </w:p>
    <w:p>
      <w:r>
        <w:t>Bundesverwaltungsgericht, 2012-03-06, DE</w:t>
      </w:r>
    </w:p>
    <w:p>
      <w:r>
        <w:rPr>
          <w:b/>
        </w:rPr>
        <w:t xml:space="preserve">Quelle: </w:t>
      </w:r>
      <w:r>
        <w:t>https://mcp.opencaselaw.ch/entscheid/bvger_E-5322_2009</w:t>
      </w:r>
    </w:p>
    <w:p>
      <w:r>
        <w:t>FR: TAF E-5322/2009 du 6 mars 2012</w:t>
      </w:r>
    </w:p>
    <w:p>
      <w:r>
        <w:t>IT: TAF E-5322/2009 del 6 marzo 2012</w:t>
      </w:r>
    </w:p>
    <w:p>
      <w:pPr>
        <w:pStyle w:val="Heading2"/>
      </w:pPr>
      <w:r>
        <w:t>Regeste</w:t>
      </w:r>
    </w:p>
    <w:p>
      <w:r>
        <w:t>Asyl und Wegweisung</w:t>
      </w:r>
    </w:p>
    <w:p>
      <w:pPr>
        <w:pStyle w:val="Heading2"/>
      </w:pPr>
      <w:r>
        <w:t>Erwägungen</w:t>
      </w:r>
    </w:p>
    <w:p>
      <w:r>
        <w:rPr>
          <w:b/>
        </w:rPr>
        <w:t>E. 1.1</w:t>
      </w:r>
    </w:p>
    <w:p>
      <w:r>
        <w:t>Angesichts der Darstellung in der Rechtsmitteleingabe, wonach das BFM auf das Wiedererwägungsgesuch vom 10. September 2009 nicht eingetreten sei, stellt sich vorab die Frage nach dem Anfechtungsobjekt des vorliegenden Beschwerdeverfahrens. Hierzu ist festzustellen, dass in der formlosen Anfrage des Rechtsvertreters vom 10. September 2009 klarerweise kein Wiedererwägungsgesuch im Sinne eines ausserordentlichen Rechtsmittels zu erkennen ist. Angesichts der Formulierung des der Vorinstanz unterbreiteten Antrags ("Gleichzeitig ersuche ich Sie vor Ablauf der Rechtsmittelfrist um Antwort, ob Ihr Amt dazu bereit ist, den Entscheid wiedererwägungsweise unpräjudiziell aufzuheben und das Gesuch neu zu prüfen"; Akten BFM, A17 S. 1) handelt es sich dabei um eine blosse Anfrage auf Neubeurteilung, mithin um einen Rechtsbehelf ohne Anfechtungsmöglichkeit. Folgerichtig erging seitens des BFM am 16. September 2009 ein formloses Antwortschreiben ohne Rechtsmittelbelehrung. Sodann erfolgte die Beschwerdeeingabe innerhalb der ordentlichen Rechtsmittelfrist. Anfechtungsobjekt des vorliegenden Beschwerdeverfahrens ist damit die Verfügung des BFM vom 19. August 2009.</w:t>
      </w:r>
    </w:p>
    <w:p>
      <w:r>
        <w:rPr>
          <w:b/>
        </w:rPr>
        <w:t>E. 1.2</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Auslieferungsbegehrens des Staates, vor welchem die beschwerdeführende Person Schutz sucht (Art. 105 des Asylgesetzes vom 26. Juni 1998 [AsylG, SR 142.31]; Art. 83 Bst. d Ziff. 1 des Bundesgerichtsgesetzes vom 17. Juni 2005 [BGG, SR 173.110]). Ein solches Auslieferungsbegehren liegt nicht vor, weshalb das Bundesverwaltungsgericht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Glaubhaftigkeit gemäss Art. 7 AsylG respektive denjenigen an die Flüchtlingseigenschaft gemäss Art. 3 AsylG nicht zu genügen vermöchten. Einerseits sei die Schilderung der ursprünglich geltend gemachten Verfolgung (der angeblichen Behelligungen durch C._______) als widersprüchlich und realitätsfremd, die später geltend gemachte Homosexualität als nachgeschoben zu bezeichnen. Andererseits handle es sich bei den vorgebrachten Übergriffen um Verfolgungsmassnahmen privater Drittpersonen, welche angesichts der funktionierenden Schutzinfrastruktur im Kosovo nicht asylrelevant seien.</w:t>
      </w:r>
    </w:p>
    <w:p>
      <w:r>
        <w:rPr>
          <w:b/>
        </w:rPr>
        <w:t>E. 5.2</w:t>
      </w:r>
    </w:p>
    <w:p>
      <w:r>
        <w:t>Aus der Rechtsmitteleingabe ergibt sich als Rüge die Verletzung von Bundesrecht, indem zu Unrecht festgestellt worden sei, die Vorbringen des Beschwerdeführers seien weder glaubhaft (vgl. hierzu Ziff. 5.3.) noch asylrelevant (vgl. hierzu Ziff. 5.4.).</w:t>
      </w:r>
    </w:p>
    <w:p>
      <w:r>
        <w:rPr>
          <w:b/>
        </w:rPr>
        <w:t>E. 5.3.1</w:t>
      </w:r>
    </w:p>
    <w:p>
      <w:r>
        <w:t>Hinsichtlich dem ursprünglich zentralen Vorbringen des Beschwerdeführers, den geltend gemachten Behelligungen durch C._______, ist vorab mit dem BFM festzustellen, dass die entsprechenden Ausführungen widersprüchlich respektive realitätsfremd ausgefallen sind. So ist namentlich die Darstellung, wonach der Beschwerdeführer während mehr als zweier Jahre permanent, nach jedem Verlassen des Hauses von seinem Verfolger und dessen Gefolgsleuten observiert und kontrolliert worden sei, mit der allgemeinen Logik des Handelns nicht vereinbar. Dies umso weniger, als dieser enorme Aufwand durch keinerlei Erfolg gerechtfertigt erscheint, gab der Beschwerdeführer doch an, dass er und seine Angehörigen dem Bandenführer niemals Geld bezahlt hätten. In Ergänzung der vorinstanzlichen Erwägungen ist zudem auf Unglaubhaftigkeit der Schilderung des angeblich fluchtbegründenden Vorfalles selbst zu schliessen. Der Beschwerdeführer gibt an, C._______ sei am (...) 2007 in sein Haus eingedrungen, wo er zusammen mit seinen Eltern und dem kurz zuvor operierten (...) den (...) gefeiert habe. Im Innern des Hauses habe der Bandenführer die Waffe auf sie gerichtet und die Herausgabe von Geld verlangt. Währenddessen hätten zwei seiner Gefolgsleute vor dem Eingang gewartet. Angesichts dieser Ausgangslage ist die Darstellung, wonach es dem Beschwerdeführer gelungen sein soll, C._______ zu entwaffnen, ausser Gefecht zu setzen und ihn sowie die übrigen Bandenmitglieder in die Flucht zu schlagen (A8 S. 4 f.), mit dem allgemein Vorstellbaren nicht zu vereinbaren.</w:t>
      </w:r>
    </w:p>
    <w:p>
      <w:r>
        <w:rPr>
          <w:b/>
        </w:rPr>
        <w:t>E. 5.3.2</w:t>
      </w:r>
    </w:p>
    <w:p>
      <w:r>
        <w:t>Im Hinblick auf die geltend gemachte Homosexualität des Beschwerdeführers ist dem BFM insoweit beizupflichten, als der Be­schwerdeführer dieses Begründungselement ohne nachvollziehbaren Grund nicht schon im Rahmen der Befragungen, sondern erst kurz nach Ergehen der vorinstanzlichen Verfügung vorbrachte. Die im Schreiben vom 16. September 2009 von der Vorinstanz vertretene Sichtweise, wonach die angebliche Homosexualität des Beschwerdeführers als nachgeschobene und deshalb unglaubhafte Sachverhaltsanpassung respektive -ergänzung zu werten sei, ist damit nicht von der Hand zu weisen. Der diesbezügliche Erklärungs- und Entkräftungsversuch in der Beschwerdeschrift, wonach der Beschwerdeführer sich wegen der jeweils kosovarischen Übersetzer nicht getraut habe, seine Homosexualität gegenüber den Schweizer Asylbehörden offenzulegen, vermag das Bundeverwaltungsgericht nicht zu überzeugen, zumal Asylsuchende vor jeder Anhörung vom BFM auf die Verschwiegenheitspflicht aller Beteiligten hingewiesen werden. Zudem hätte es dem Beschwerdeführer offen gestanden, dieses Begründungselement im Nachgang der Befragungen schriftlich darzutun. Folgerichtig wurde denn auch mit Zwischenverfügung vom 21. September 2011 der Antrag auf Durchführung einer erneuten Befragung zur Klärung dieses Gesichtspunkts abgewiesen.</w:t>
      </w:r>
    </w:p>
    <w:p>
      <w:r>
        <w:rPr>
          <w:b/>
        </w:rPr>
        <w:t>E. 5.4</w:t>
      </w:r>
    </w:p>
    <w:p>
      <w:r>
        <w:t>Unter Hinweis auf die nachstehenden Erwägungen ist festzustellen, dass die Asylbegründung des Beschwerdeführers auch bei Wahrunterstellung den Anforderungen an die Flüchtlingseigenschaft gemäss Art. 3 AsylG nicht genügt.</w:t>
      </w:r>
    </w:p>
    <w:p>
      <w:r>
        <w:rPr>
          <w:b/>
        </w:rPr>
        <w:t>E. 5.4.1</w:t>
      </w:r>
    </w:p>
    <w:p>
      <w:r>
        <w:t>Hinsichtlich der ursprünglich als fluchtauslösend bezeichneten Asylvorbringen ist festzustellen, dass als Urheber der geschilderten Behelligungen der kriminelle Bandenchef C._______ genannt wird. Entsprechend der zutreffenden Auffassung des BFM handelt es sich dabei um nichtstaatliche Verfolgungsmassnahmen. Nach der Schutztheorie hängt die flüchtlingsrechtliche Relevanz einer nichtstaatlichen Verfolgung vom Vorhandensein eines adäquaten Schutzes durch den Heimatstaat ab. Der Schutz vor nichtstaatlicher Verfolgung im Heimatstaat ist als ausreichend zu qualifizieren,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(Entscheidungen und Mitteilungen der Schweizerischen Asylrekurskommission [EMARK] 2006 Nr. 18 E. 10.2 f., S. 202 f.). 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UNMIK (Interimsverwaltung der Vereinten Nationen im Kosovo) sowie der KPS (Kosovo Police Services) ausgegangen werden (zur Frage der Schutzgewährung durch internationale Organisationen im Kosovo vgl. BVGE 2007/31 E. 5.3 S. 380, EMARK 2002 Nrn. 8 und 21).Am 17. Februar 2008 hat sich der Kosovo als ein von Serbien unabhängiger Staat erklärt. In der Folge haben zahlreiche Staaten der Europäischen Union (EU) den Kosovo als von Serbien unabhängigen Staat anerkannt. Die Schweiz tat dies am 27. Februar 2008. Bereits Ende März 2008 hat sie diplomatische sowie konsularische Beziehungen mit dem neuen Staat aufgenommen, namentlich in Pristina eine Schweizerische Vertretung eröffnet. Zudem wurde der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 Der Beschwerdeführer brachte hierzu vor, nach dem Vorfall vom (...) 2007 habe er die Polizei benachrichtigt, indessen hätten die zuständigen Beamten weder ein Protokoll erstellt noch Untersuchungsmassnahmen eingeleitet. Hierzu ist festzustellen, dass dem Beschwerdeführer, sollten die zuständigen Beamten sich geweigert haben, gegen den Bandenführer vorzugehen, immer noch die Möglichkeit offen gestanden hätte, den rechtsstaatlich installierten Instanzenzug in Anspruch zu nehmen. Opfer von Behördenwillkür könnten die ihnen zustehenden Rechte somit auf dem Rechtsweg einfordern oder sich auch an die vor Ort tätigen internationalen Organisationen wenden. Im Ergebnis sind die Vorbringen des Beschwerdeführers nicht geeignet, die vermutete Verfolgungssicherheit im Kosovo zu entkräften. Der Vollständigkeit halber ist zudem festzuhalten, dass es sich bei der geltend gemachten Bedrohung um lokal beschränkte Verfolgungsmassnahmen handelt und es dem Beschwerdeführer zuzumuten gewesen wäre, sich an einem anderen Ort im Kosovo niederzulassen.</w:t>
      </w:r>
    </w:p>
    <w:p>
      <w:r>
        <w:rPr>
          <w:b/>
        </w:rPr>
        <w:t>E. 5.4.2</w:t>
      </w:r>
    </w:p>
    <w:p>
      <w:r>
        <w:t>Im Zusammenhang mit seiner sexuellen Ausrichtung macht der Beschwerdeführer keine konkreten, über Allgemeinplätze ("extreme Reaktionen provoziert", "seine dadurch im Kosovo entstandenen Probleme") hinausgehenden Behelligungen im Sinne einer Vorverfolgung geltend. Indessen wird vorgebracht, homosexuelle Männer würden im Kosovo systematisch diskriminiert, weshalb der Beschwerdeführer bei einer Rückkehr begründete Furcht vor Verfolgung habe. Die im Gesetz in Art. 3 AsylG definierte Flüchtlingseigenschaft (vgl. Ziff. 4.1)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93). Konkret liegt eine Verfolgung von asylrelevanter Intensität dann vor, wenn mit jener eine direkte und ernsthafte Gefahr gegen Leib, Leben und Freiheit einhergeht. Diesen Anforderungen genügt die vom Beschwerdeführer pauschal geltend gemachte gesellschaftliche Diskriminierung klarerweise nicht. Sie erweist sich als deutlich zu wenig intensiv, um eine Verfolgung im flüchtlingsrechtlich relevanten Sinne darzustellen.</w:t>
      </w:r>
    </w:p>
    <w:p>
      <w:r>
        <w:rPr>
          <w:b/>
        </w:rPr>
        <w:t>E. 5.5</w:t>
      </w:r>
    </w:p>
    <w:p>
      <w:r>
        <w:t>Zusammenfassend folgt, dass der Beschwerdeführer keine Gründe nach Art. 3 AsylG nachweisen oder glaubhaft machen kann. Das BFM hat sein Asylgesuch zu Recht abgelehnt. Es erübrigt sich somit, auf die weiteren Ausführungen in der Rechtsmitteleingabe einzugehen, da sie nicht geeignet sind, obige Einschätzung in Zweifel zu ziehen.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welche die Flüchtlingseigenschaft erfüllen. Da es dem Be­schwerdeführenr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w:t>
      </w:r>
    </w:p>
    <w:p>
      <w:r>
        <w:rPr>
          <w:b/>
        </w:rPr>
        <w:t>E. 7.2.2</w:t>
      </w:r>
    </w:p>
    <w:p>
      <w:r>
        <w:t>Auch die allgemeine Menschenrechtssituation im Heimatstaat lässt den Wegweisungsvollzug zum heutigen Zeitpunkt klarerweise nicht als unzulässig erscheinen, da der Kosovo wie ausgeführt als "Safe Country" gilt.</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Kosovo herrscht keine Situation allgemeiner Gewalt, weshalb in konstanter Praxis von der generellen Zumutbarkeit des Wegweisungsvollzugs ausgegangen wird.</w:t>
      </w:r>
    </w:p>
    <w:p>
      <w:r>
        <w:rPr>
          <w:b/>
        </w:rPr>
        <w:t>E. 7.3.3</w:t>
      </w:r>
    </w:p>
    <w:p>
      <w:r>
        <w:t>Den Akten sind sodann keine Anhaltspunkte dafür zu entnehmen, dass der Beschwerdeführer bei einer Rückkehr in den Kosovo aus individuellen Gründen wirtschaftlicher oder sozialer Natur in eine existenzbedrohende Situation geraten würde.</w:t>
      </w:r>
    </w:p>
    <w:p>
      <w:r>
        <w:rPr>
          <w:b/>
        </w:rPr>
        <w:t>E. 7.3.3.1</w:t>
      </w:r>
    </w:p>
    <w:p>
      <w:r>
        <w:t>Hinsichtlich des Hinweises auf die ethnische Zugehörigkeit des Beschwerdeführers ist festzustellen, dass den Angehörigen der Roma in der kosovarischen Verfassung die gleichen Minderheitenrechte wie andere Volksgruppen zugestanden werden. Das Bundesverwaltungsgericht erachtet den Vollzug der Wegweisung von albanischsprachigen Roma, Ashkali und Ägyptern in den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im Kosovo) als gegeben erachtet werden können (vgl. dazu letztmals BVGE 2007/10, mit weiteren Hinweisen), welche Beurteilung gemäss den Erkenntnissen des Bundesverwaltungsgerichts auch nach der Unabhängigkeit Kosovos unverändert gültig ist. Im vorliegenden Einzelfall rechtfertigt sich ein ausnahmsweiser Verzicht auf Abklärungen vor Ort insbesondere aufgrund der Angaben des Beschwerdeführers. So hat er in den Befragungen ausdrücklich zu Protokoll gegeben, seine Familie sei materiell nicht schlecht gestellt, habe ein Haus, und er habe ein soziales Bezugsnetz in B._______ (vgl. z.B. A8 S. 6). Sodann setzte er den entsprechenden Erwägungen des BFM in der angefochtenen Verfügung (Ziff. II 2 am Ende, S. 5) keinerlei Gegenargumente entgegen. Auch im Verlauf des Beschwerdeverfahrens - obwohl mit Instruktionsverfügung vom 21. September 2011 wiederum festgehalten wurde, ein Vollzug erscheine voraussichtlich als zumutbar (vgl. a.a.O. S. 5) - wurde diese Einschätzung in keiner Art und Weise relativiert (vgl. Eingaben vom 6. Und 7. Oktober 2011 und vom 18. Dezember 2011). Nach dem Gesagten kann aufgrund der Aktenlage darauf geschlossen werden, er verfüge im Kosovo über ein soziales Beziehungsnetz, wobei er mit seiner Kernfamilie vor seiner Ausreise in einem gemeinsamen Haushalt gelebt hat (A1 S. 3 f.). Schliesslich ist davon auszugehen, dass er im Kosovo über weitere soziale Kontakte verfügt beziehungsweise es ihm zumutbar ist, vorbestehende Kontakte zu erneuern, was ihm die Reintegration in seiner Heimat erleichtern dürfte. Schliesslich ist der heute (...)-jährige Beschwerdeführer - soweit aktenkundig - gesund (vgl. hierzu auch Ziff. 7.3.3.2.) und verfügt über eine abgeschlossene Lehre als (...) sowie über Berufserfahrung in anderen Berufszweigen (A1 S. 2).</w:t>
      </w:r>
    </w:p>
    <w:p>
      <w:r>
        <w:rPr>
          <w:b/>
        </w:rPr>
        <w:t>E. 7.3.3.2</w:t>
      </w:r>
    </w:p>
    <w:p>
      <w:r>
        <w:t>Hinsichtlich der geltend gemachten Gesundheitsprobleme des Beschwerdeführers ist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Aus dem eingereichten ärztlichen Zeugnis des Kantonsspitals E._______ vom 15./ 18. Juni 2010 ergibt sich, dass der Beschwerdeführer unter (...) leidet. Die medizinisch indizierte Behandlung war dabei offenbar auf die Abgabe von Medikamenten beschränkt. Angesichts dieser Diagnose ist festzustellen, dass einerseits der Beschwerdeführer in seinem Heimatland wegen (...) nicht einer unmittelbaren und schweren Gefährdung ausgesetzt ist und andererseits im Kosovo die medizinische Versorgung auch mit Blick auf die vorliegend benötigte medikamentöse Behandlung als ausreichend zu bezeichnen ist. Aus diesem Grund stehen die vorliegenden gesundheitlichen Probleme einer Durchführbarkeit des Wegweisungsvollzugs nicht entgegen. Der Zugriff auf die genannten Behandlungsmöglichkeiten lässt sich im Bedarfsfall in Form einer individuellen Rückkehrhilfe sicherstellen (vgl. Art. 93 Abs. 1 Bst. d AsylG, Art. 75 der Asylverordnung 2 vom 11. August 1999 über Finanzierungsfragen [AsylV 2, SR 142.312]).</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7.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