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E-5321/2007 vom 22. September 2010</w:t>
      </w:r>
    </w:p>
    <w:p>
      <w:r>
        <w:t>Bundesverwaltungsgericht, 2010-09-22, DE</w:t>
      </w:r>
    </w:p>
    <w:p>
      <w:r>
        <w:rPr>
          <w:b/>
        </w:rPr>
        <w:t xml:space="preserve">Quelle: </w:t>
      </w:r>
      <w:r>
        <w:t>https://mcp.opencaselaw.ch/entscheid/bvger_E-5321_2007</w:t>
      </w:r>
    </w:p>
    <w:p>
      <w:r>
        <w:t>FR: TAF E-5321/2007 du 22 septembre 2010</w:t>
      </w:r>
    </w:p>
    <w:p>
      <w:r>
        <w:t>IT: TAF E-5321/2007 del 22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Abs. 1 und Art.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(Entscheidungen und Mitteilungen der Schwei-zerischen Asylrekurskommission [EMARK] 2003 Nr. 2 E. 5a und b S. 16 ff.).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grundsätzlich von Amtes wegen anzuwenden. Ein Verzicht der betroffenen asylsuchende Person auf die Befragung durch eine Person gleichen Geschlechts könnte nur dann angenommen werden, wenn er ausdrücklich erklärt wird (EMARK 2003 Nr. 2 E. 5b/dd und E5c S. 19 f.).</w:t>
      </w:r>
    </w:p>
    <w:p>
      <w:r>
        <w:rPr>
          <w:b/>
        </w:rPr>
        <w:t>E. 3.2</w:t>
      </w:r>
    </w:p>
    <w:p>
      <w:r>
        <w:t>Mit der Aussage der Beschwerdeführerin anlässlich der kantona-len Anhörung vom 8. August 2006, die drei Männer hätten sie in jener Nacht überall am Körper an allen erdenklichen Stellen unanständig berührt (Akten BFM A7/30 S. 19), lagen konkrete Hinweise auf eine geschlechtsspezifische Verfolgung (Eingriff in die sexuelle Identität) vor, welche zwingend (EMARK 2003 Nr. 2 E. 5c S.19) Anlass dazu hätten geben müssen, die Schutzvorschrift von Art. 6 AsylV 1 anzuwenden und die Beschwerdeführerin in der Folge durch ein reines Frauenteam zu ihren Asylgründen anzuhören. Wie bereits vorstehend (E. 3.1)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es die Beschwerdeführerin aus Scham gegenüber dem bei der Anhö-rung anwesenden männlichen Dolmetscher unterlassen hat, konkret erlittene Übergriffe frei zu schildern. Des Weiteren hat es die Befrage-rin anlässlich der Anhörung nicht nur unterlassen, die Beschwer-deführerin über ihre diesbezüglichen Rechte aufzuklären, sondern auch dieser die Frage gestellt, ob es noch zu einem Vorfall gekommen sei, den sie nicht in Anwesenheit eines männlichen Dolmetschers erzählen möchte (A7/30 S. 19). Schliesslich ist festzustellen, dass sich aus den Akten keine Anhaltspunkte dafür ergeben, die Beschwerdeführerin habe auf eine Anhörung durch ein reines Frauenteam ausdrücklich verzichtet.</w:t>
      </w:r>
    </w:p>
    <w:p>
      <w:r>
        <w:rPr>
          <w:b/>
        </w:rPr>
        <w:t>E. 3.3</w:t>
      </w:r>
    </w:p>
    <w:p>
      <w:r>
        <w:t>Damit ergibt sich, dass das Bundesamt dadurch, dass es die Beschwerdeführerin trotz klaren Hinweisen auf eine geschlechtsspezifi-sche Verfolgung nicht durch ein reines Frauenteam zu ihren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4</w:t>
      </w:r>
    </w:p>
    <w:p>
      <w:r>
        <w:t>Beschwerden gegen Verfügungen des BFM betreffend die Verweigerung des Asyls und der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BFM pflichtwidrig unterlassene Anhö-rung der Beschwerdeführerin durch ein reines Frauenteam nachzuho-len. Abgesehen davon ginge der Beschwerdeführerin dadurch eine Überprüfungsinstanz verloren.</w:t>
      </w:r>
    </w:p>
    <w:p>
      <w:r>
        <w:rPr>
          <w:b/>
        </w:rPr>
        <w:t>E. 5</w:t>
      </w:r>
    </w:p>
    <w:p>
      <w:r>
        <w:t>Bei dieser Sachlage ist die Beschwerde im Sinne der Erwägungen gutzuheissen. Die Verfügung vom 12. Juli 2007 ist aufzuheben und das BFM anzuweisen, der Beschwerdeführerin das rechtliche Gehör im Sinne der Erwägungen zu gewähren, den rechtserheblichen Sachverhalt richtig respektive vollständig festzustellen und über das Asylgesuch neu zu entscheiden. Auf die im Beschwerdeverfahren in reformatorischer Hinsicht gestellten Rechtsbegehren und deren Begründung sowie auf die bisher eingereichten Dokumente ist bei diesem Verfahrensausgang nicht einzugehen, zumal es Sache des Bundesamtes sein wird, sich damit zu befassen.</w:t>
      </w:r>
    </w:p>
    <w:p>
      <w:r>
        <w:rPr>
          <w:b/>
        </w:rPr>
        <w:t>E. 6.1</w:t>
      </w:r>
    </w:p>
    <w:p>
      <w:r>
        <w:t>Bei diesem Ausgang des Beschwerdeverfahrens sind keine Ver-fahrenskosten aufzuerlegen (Art. 63 Abs. 1 VwVG), womit der Antrag der Beschwerdeführerin auf Gewährung der unentgeltlichen Rechts-pflege gegenstandslos wird.</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liegt keine Kostennote vor, weshalb die Entschädi-gung für das Beschwerdeverfahren aufgrund der Akten festzusetzen ist (Art. 14 Abs. 2 in fine VGKE). Unter Berücksichtigung der massge-benden Bemessungsfaktoren (Art. 9 - 13 VGKE) und der Entschädi-gungspraxis in Vergleichsfällen ist das BFM anzuweisen, der Beschwerdeführerin für das Rechtsmittelverfahren eine Parteientschädi-gung in der Höhe von pauschal Fr. 1200.-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