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E-531/2019 vom 25. August 2025</w:t>
      </w:r>
    </w:p>
    <w:p>
      <w:r>
        <w:t>Bundesverwaltungsgericht, 2025-08-25, DE</w:t>
      </w:r>
    </w:p>
    <w:p>
      <w:r>
        <w:rPr>
          <w:b/>
        </w:rPr>
        <w:t xml:space="preserve">Quelle: </w:t>
      </w:r>
      <w:r>
        <w:t>https://mcp.opencaselaw.ch/entscheid/bvger_E-531_2019</w:t>
      </w:r>
    </w:p>
    <w:p>
      <w:r>
        <w:t>FR: TAF E-531/2019 du 25 août 2025</w:t>
      </w:r>
    </w:p>
    <w:p>
      <w:r>
        <w:t>IT: TAF E-531/2019 del 25 agosto 2025</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des SEM im Sinne von Art. 5 VwVG. Dabei entscheidet das Gericht auf dem Gebiet des Asyls in der Regel und auch vorliegend end- gültig; eine Ausnahme im Sinne von Art. 32 VGG liegt nicht vor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und der Beschwerdeführer ist zur Einreichung der Beschwerde legitimiert (Art. 105 und aArt. 108 Abs. 1 AsylG; Art. 48 Abs. 1 sowie Art. 52 Abs. 1 VwVG). Auf die Beschwerde ist einzutreten.</w:t>
      </w:r>
    </w:p>
    <w:p>
      <w:r>
        <w:rPr>
          <w:b/>
        </w:rPr>
        <w:t>E. 2</w:t>
      </w:r>
    </w:p>
    <w:p>
      <w:r>
        <w:t>Mit Zwischenverfügung vom 3. Januar 2025 wurde das vorliegende Verfah- ren sistiert, nachdem sich die entscheidwesentliche Situation in Syrien nach den Ereignissen vom Dezember 2024 als unklar erwies. Angesichts der anhaltenden diesbezüglichen Unsicherheiten rechtfertigt sich eine Kas- sation der angefochtenen Verfügung, wie nachfolgend zu zeigen sein wird. Die Sistierung des Verfahrens ist deshalb aufzuheben.</w:t>
      </w:r>
    </w:p>
    <w:p>
      <w:r>
        <w:rPr>
          <w:b/>
        </w:rPr>
        <w:t>E. 3</w:t>
      </w:r>
    </w:p>
    <w:p>
      <w:r>
        <w:t>Die Kognition des Bundesverwaltungsgerichts und die zulässigen Rügen richten sich im Asylbereich nach Art. 106 Abs. 1 AsylG (vgl. BVGE 2014/26 E. 5).</w:t>
      </w:r>
    </w:p>
    <w:p>
      <w:r>
        <w:t>E-531/2019 Seite 7</w:t>
      </w:r>
    </w:p>
    <w:p>
      <w:r>
        <w:rPr>
          <w:b/>
        </w:rPr>
        <w:t>E. 4</w:t>
      </w:r>
    </w:p>
    <w:p>
      <w:r>
        <w:t>Die Beschwerde ist im Verfahren einzelrichterlicher Zuständigkeit mit Zu- stimmung eines zweiten Richters oder einer zweiten Richterin zu behan- deln, weil sie sich als offensichtlich begründet erweist (Art. 111 Bst. e AsylG). Das Urteil ist nur summarisch zu begründen (Art. 111a Abs. 2 AsylG).</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w:t>
      </w:r>
    </w:p>
    <w:p>
      <w:r>
        <w:t>E-531/2019 Seite 8 «Verfassungserklärung» verabschiedet, die als rechtliche Grundlage für die politische Übergangsphase dienen soll. Die Verfassungserklärung und die konkreten Modalitäten der staatlichen Reformen bleiben umstritten, wo- bei insbesondere die wichtigsten syrisch-kurdischen Akteure, darunter na- mentlich die hinter der Autonomen Administration Nord- und Ostsyrien (englisch «Democratic Autonomous Administration of North and East Sy- 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ist der Ausgangspunkt die im Zeitpunkt der Ausreise der asylsuchenden Person bestehende Verfol- gungssituation. Nach Lehre und Praxis wird jedoch dann auf die Gefähr- dungslage im Moment des Asylentscheides abgestellt, wenn sich die Lage im Heimatstaat zwischen Ausreise und Asylentscheid massgeblich zu Gunsten oder zu Lasten der asylsuchenden Person verändert hat (vgl. BVGE 2011/51 E. 6.1 m.w.H.).</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m.w.H.).</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t>E-531/2019 Seite 9</w:t>
      </w:r>
    </w:p>
    <w:p>
      <w:r>
        <w:rPr>
          <w:b/>
        </w:rPr>
        <w:t>E. 7.1</w:t>
      </w:r>
    </w:p>
    <w:p>
      <w:r>
        <w:t>Nach dem Gesagten ist die Beschwerde gutzuheissen, soweit darauf eingetreten wird. Die Ziffern 1-3 der angefochtenen Verfügung sind aufzuheben und die Sache ist zur Neubeurteilung an die Vorinstanz zurückzuweisen. Das SEM ist anzuweisen, die erforderlichen Massnahmen durchzuführen und gestützt auf die entsprechenden Erkenntnisse das Asylgesuch des Beschwerdeführers erneut zu beurteilen und darüber zu entscheiden.</w:t>
      </w:r>
    </w:p>
    <w:p>
      <w:r>
        <w:rPr>
          <w:b/>
        </w:rPr>
        <w:t>E. 7.2</w:t>
      </w:r>
    </w:p>
    <w:p>
      <w:r>
        <w:t>Vor diesem Hintergrund erübrigt es sich, auf die weitere Rüge des Beschwerdeführers hinsichtlich einer Verletzung des rechtlichen Gehörs (vgl. Beschwerde Ziff. III.1) einzugehen, zumal die Akten des vorliegenden Beschwerdeverfahrens, inklusive der Anträge und Beweismittel zum integralen Bestandteil des wiederaufzunehmenden erstinstanzlichen Verfahrens werden und sich das SEM damit zu befassen hat. Ergänzend ist auf das Gesuch des Beschwerdeführers vom 15. Oktober 2021 um Einbezug in die Flüchtlingseigenschaft seiner Ehefrau hinzuweisen, das bei einer Verneinung der originären Flüchtlingseigenschaft des Beschwerdeführers ebenfalls zu behandeln ist.</w:t>
      </w:r>
    </w:p>
    <w:p>
      <w:r>
        <w:rPr>
          <w:b/>
        </w:rPr>
        <w:t>E. 8</w:t>
      </w:r>
    </w:p>
    <w:p>
      <w:r>
        <w:t>Dezember 2024 vorzunehmen. Sondern es ist auch danach zu fragen,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das SEM vorzunehmen. Es rechtfertigt sich deshalb eine Kassation der angefochtenen Verfügung. Dabei wird durch die Vorinstanz bei der Abklärung des Sachverhalts zum einen die erforderliche allgemeine Lagebeurteilung vorzunehmen, zum anderen dem Beschwerdeführer in angemessener Weise das rechtliche Gehör zu ertei- len sein. Im Übrigen bleibt auf diese Weise der Instanzenzug erhalten, was umso wesentlicher ist, als das Bundesverwaltungsgericht im Anwendungs- bereich des AsylG als einzige gerichtliche Behörde und mithin letztinstanz- lich entscheidet. 7. 7.1 Nach dem Gesagten ist die Beschwerde gutzuheissen, soweit darauf eingetreten wird. Die Ziffern 1–3 der angefochtenen Verfügung sind aufzu- heben und die Sache ist zur Neubeurteilung an die Vorinstanz zurückzu- weisen. Das SEM ist anzuweisen, die erforderlichen Massnahmen durch- zuführen und gestützt auf die entsprechenden Erkenntnisse das Asylge- such des Beschwerdeführers erneut zu beurteilen und darüber zu ent- scheiden. 7.2 Vor diesem Hintergrund erübrigt es sich, auf die weitere Rüge des Be- schwerdeführers hinsichtlich einer Verletzung des rechtlichen Gehörs (vgl. Beschwerde Ziff. III.1) einzugehen, zumal die Akten des vorliegenden Be- schwerdeverfahrens, inklusive der Anträge und Beweismittel zum integra- len Bestandteil des wiederaufzunehmenden erstinstanzlichen Verfahrens werden und sich das SEM damit zu befassen hat. Ergänzend ist auf das Gesuch des Beschwerdeführers vom 15. Oktober 2021 um Einbezug in die Flüchtlingseigenschaft seiner Ehefrau hinzuweisen, das bei einer Vernei- nung der originären Flüchtlingseigenschaft des Beschwerdeführers eben- falls zu behandeln ist.</w:t>
      </w:r>
    </w:p>
    <w:p>
      <w:r>
        <w:rPr>
          <w:b/>
        </w:rPr>
        <w:t>E. 8.1</w:t>
      </w:r>
    </w:p>
    <w:p>
      <w:r>
        <w:t>Bei diesem Ausgang des Verfahrens sind keine Kosten zu erheben (Art. 63 Abs. 1 und Abs. 2 VwVG).</w:t>
      </w:r>
    </w:p>
    <w:p>
      <w:r>
        <w:rPr>
          <w:b/>
        </w:rPr>
        <w:t>E. 8.2</w:t>
      </w:r>
    </w:p>
    <w:p>
      <w:r>
        <w:t>Gemäss Art. 64 Abs. 1 VwVG i.V.m. Art. 37 VGG kann die Beschwer- deinstanz der ganz oder teilweise obsiegenden Partei von Amtes wegen</w:t>
      </w:r>
    </w:p>
    <w:p>
      <w:r>
        <w:t>E-531/2019 Seite 10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Die einge- reichte Kostennote vom 13. März 2019 (Fr. 1'140.– [inkl. Spesen]) und ihre Ergänzungen vom 20. April 2023 (Fr. 707.30 [inkl. Spesen und Mehrwert- steuer]), welche die ergänzende Kostennote vom 14. Juni 2021 ersetzt, und vom 23. August 2024 (Fr. 364.95 [inkl. Spesen und Mehrwertsteuer]) ergeben einen Gesamtbetrag von Fr. 2'212.25 (inkl. Spesen und Mehrwert- steuer). Der berechnete zeitliche Aufwand für das Jahr 2024 (vgl. Kosten- note vom 23. August 2024) erscheint angesichts der zwei in dieser Zeit- spanne eingereichten Schreiben mit wenigen Zeilen als überhöht. Gestützt auf die in Betracht zu ziehenden Bemessungsfaktoren (Art. 9‒13 VGKE) ist der zeitliche Aufwand daher auf 30 Minuten zu reduzieren und dem Be- schwerdeführer sind Fr. 1'974.40 (inkl. Auslagen und Mehrwertsteuer) zu- zusprechen. Dieser Betrag ist dem Beschwerdeführer durch das SEM zu entrichten. (Dispositiv nächste Seite)</w:t>
      </w:r>
    </w:p>
    <w:p>
      <w:r>
        <w:t>E-531/2019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