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E-5302/2018 vom 10. Oktober 2018</w:t>
      </w:r>
    </w:p>
    <w:p>
      <w:r>
        <w:t>Bundesverwaltungsgericht, 2018-10-10, DE</w:t>
      </w:r>
    </w:p>
    <w:p>
      <w:r>
        <w:rPr>
          <w:b/>
        </w:rPr>
        <w:t xml:space="preserve">Quelle: </w:t>
      </w:r>
      <w:r>
        <w:t>https://mcp.opencaselaw.ch/entscheid/bvger_E-5302_2018</w:t>
      </w:r>
    </w:p>
    <w:p>
      <w:r>
        <w:t>FR: TAF E-5302/2018 du 10 octobre 2018</w:t>
      </w:r>
    </w:p>
    <w:p>
      <w:r>
        <w:t>IT: TAF E-5302/2018 del 10 ottobre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Nachdem die Vorinstanz den Anspruch des Beschwerdeführers auf Be-handlung seines Wiedererwägungsgesuchs im Vollzugspunkt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D-4909/2016 vom 5. September 2016 E. 4.3). Eine Auseinandersetzung mit dem Rechtsbegehen, die Vorinstanz sei anzuweisen, auf das Wiedererwägungsgesuch des Beschwerdeführers einzutreten, erübrigt sich somit. Auf das Rechtsbegehren, dem Beschwerdeführer sei Asyl zu gewähren, ist wegen unzulässiger Erweiterung des Streitgegenstandes nicht einzutreten, weil mit dem Wiedererwägungsgesuch vom 30. August 2018 lediglich die Feststellung der Undurchführbarkeit des Wegweisungsvollzugs und die Anordnung der vorläufigen Aufnahme, eventualiter eine Sistierung oder Erstreckung der Ausreisefrist bis zum Vorliegen gültiger Reisedokumente, anbegehrt wurde. Die Flüchtlingseigenschaft des Beschwerdeführers und die Gewährung von Asyl ist nicht Gegenstand des vorliegenden Verfahrens.</w:t>
      </w:r>
    </w:p>
    <w:p>
      <w:r>
        <w:rPr>
          <w:b/>
        </w:rPr>
        <w:t>E. 5</w:t>
      </w:r>
    </w:p>
    <w:p>
      <w:r>
        <w:t>In materieller Hinsicht ist mit der Vorinstanz festzustellen, dass es dem Beschwerdeführer offensichtlich nicht gelingt, Wiedererwägungsgründe darzutun. Zur Vermeidung von Wiederholungen kann auf die zutreffenden Erwägungen in der angefochtenen Verfügung verwiesen werden. Insbesondere ist festzuhalten, dass der Beschwerdeführer nicht aus Somalia, sondern aus Djibouti stammt. Im Urteil vom 7. März 2018 (E-479/2018) wurde festgehalten, die Vorinstanz habe den Wegweisungsvollzug nach Djibouti zu Recht als zulässig, zumutbar und möglich bezeichnet. Da die Flüchtlingseigenschaft und die Gewährung von Asyl nicht Gegenstand des Verfahrens sind, braucht auf das offensichtlich aktenwidrige Vorbringen, gewisse Beweismittel, namentlich der Beleg für die Mitgliedschaft des Beschwerdeführers bei der E._______, hätten erst im Wiedererwägungsgesuch präsentiert werden können, nicht eingegangen zu werden. Diese Dokumente wurden nicht im Wiedererwägungs-, sondern im Revisionsverfahren eingereicht (vgl. das Urteil E-2092/2018 vom 16. Mai 2018). Da der Beschwerdeführer Staatsangehöriger von Djibouti ist und das SEM den Wegweisungsvollzug in diesen Staat angeordnet hat, erübrigt sich eine Auseinandersetzung mit den weiteren Vorbringen in der Beschwerde, es sei eine notorische Tatsache, dass die Kriminalitätsrate in Somalia hoch und der Staat sehr schwach ausgebaut sei. Gleich verhält es sich mit dem Verweis auf das zitierte Hintergrunddokument des SEM "Focus Somalia, Clans und Minderheiten". In der angefochtenen Verfügung wurde zu Recht ausgeführt, im Wiedererwägungsgesuch würden keine Gründe vorgebracht, die die Anordnung des Wegweisungsvollzugs nach Djibouti als nicht korrekt erscheinen lassen würden. Soweit sinngemäss eine Verletzung des Grundsatzes der Einheit der Familie (vgl. Art. 8 EMRK) geltend gemacht wird, ist mit der Vorinstanz festzuhalten, dass der Beschwerdeführer die Möglichkeit hat, die Beziehung zu seiner religiös getrauten Lebenspartnerin und den Kindern entweder in seinem Heimatstaat Djibouti oder in Somaliland zu leben. Zur Vermeidung von Wiederholungen kann auf die diesbezüglichen Ausführungen in der angefochtenen Verfügung und im Asylentscheid vom 13. Juli 2018 betreffend die Lebenspartnerin des Beschwerdeführers verwiesen werden.</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7</w:t>
      </w:r>
    </w:p>
    <w:p>
      <w:r>
        <w:t>Mit dem vorliegenden Urteil wird der Antrag auf Erteilung der aufschiebenden Wirkung der Beschwerde hinfällig.</w:t>
      </w:r>
    </w:p>
    <w:p>
      <w:r>
        <w:rPr>
          <w:b/>
        </w:rPr>
        <w:t>E. 8</w:t>
      </w:r>
    </w:p>
    <w:p>
      <w:r>
        <w:t>Bei diesem Ausgang des Verfahrens sind die Kosten dem Beschwer-deführer aufzuerlegen (Art. 63 Abs. 1 VwVG) und aufgrund der als aussichtslos erkannten Beschwerde praxisgemäss auf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