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E-52/2019 vom 22. Januar 2019</w:t>
      </w:r>
    </w:p>
    <w:p>
      <w:r>
        <w:t>Bundesverwaltungsgericht, 2019-01-22, DE</w:t>
      </w:r>
    </w:p>
    <w:p>
      <w:r>
        <w:rPr>
          <w:b/>
        </w:rPr>
        <w:t xml:space="preserve">Quelle: </w:t>
      </w:r>
      <w:r>
        <w:t>https://mcp.opencaselaw.ch/entscheid/bvger_E-52_2019</w:t>
      </w:r>
    </w:p>
    <w:p>
      <w:r>
        <w:t>FR: TAF E-52/2019 du 22 janvier 2019</w:t>
      </w:r>
    </w:p>
    <w:p>
      <w:r>
        <w:t>IT: TAF E-52/2019 del 22 gennaio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1.2</w:t>
      </w:r>
    </w:p>
    <w:p>
      <w:r>
        <w:t>Aufgrund der Zuweisung des Beschwerdeführers in die Testphase des Verfahrenszentrums in Zürich kommt die Verordnung vom 4. September 2013 über die Durchführung von Testphasen zu den Beschleunigungsmassnahmen im Asylbereich zur Anwendung (Art. 1 und Art. 4 Abs. 1 TestV, SR 142.318.1).</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Zur Begründung des ablehnenden Asylentscheids befand die Vorinstanz, der Beschwerdeführer habe seine Flüchtlingseigenschaft zufolge Verletzung seiner Mitwirkungspflicht nicht im Sinne von Art. 7 AsylG glaubhaft machen können. Anlässlich der Anhörung habe er sich geweigert, ukrainisch zu sprechen, obwohl er auf dem Personalienblatt angegeben habe, dies sei seine Muttersprache. Den vor der Anhörung eingegangenen Akten seien keine Hinweise zur Durchführung der Anhörung auf Englisch zu entnehmen. Er habe diesen Wunsch erst anlässlich der Anhörung geäussert und sich dieser komplett verweigert, weshalb davon auszugehen sei, er habe kein Interesse an der Mitwirkung in seinem Asylverfahren. Er habe keinen triftigen Grund angegeben, weshalb er seine Vorbringen nur in Englisch darlegen könnte. Aufgrund seines Verhaltens sei es nicht möglich gewesen, anlässlich der Anhörung den rechtserheblichen Sachverhalt zu ermitteln. Er habe seine Mitwirkungspflicht gemäss Art. 8 Abs. 3bis AsylG grob verletzt, weshalb über sein Asylgesuch aufgrund der Aktenlage entschieden werde. Zufolge seiner schuldhaften und groben Verletzung der Mitwirkungspflicht habe er nicht glaubhaft machen können, dass er auf Schutz vor Verfolgung im Sinne von Art. 3 AsylG angewiesen sei. Es erübrige sich somit, die schriftlich dargelegten Vorbringen auf die Asylrelevanz oder Glaubhaftigkeit zu prüfen.</w:t>
      </w:r>
    </w:p>
    <w:p>
      <w:r>
        <w:rPr>
          <w:b/>
        </w:rPr>
        <w:t>E. 4.2</w:t>
      </w:r>
    </w:p>
    <w:p>
      <w:r>
        <w:t>In seiner Beschwerde bringt der Beschwerdeführer im Wesentlichen vor, die Vorinstanz habe keine materielle Prüfung der Asylgründe vorgenommen. Dieses Vorgehen begründe sie mit Art. 8 Abs. 3bis AsylG, wonach jedoch grundsätzlich ein Abschreibungsbeschluss hätte ergehen müssen. In der Verfügung verwende sie die Terminologie der schuldhaften und groben Mitwirkungspflichtsverletzung gemäss Art. 36 Abs. 1 lit. c AsylG, ohne jedoch darauf zu verweisen. Im Anwendungsbereich von Art. 36 Abs. 1 Satz 2 AsylG könne bei einer groben Verletzung der Mitwirkungspflicht nach Gewährung des rechtlichen Gehörs auf die Durchführung einer Anhörung zu den Asylgründen verzichtet und ein materieller Asylentscheid gefällt werden, die Flüchtlingseigenschaft müsse jedoch zumindest summarisch geprüft werden. Es sei vorliegend aber nicht von einer Verletzung der Mitwirkungspflicht auszugehen, denn bereits sein schriftliches Asylgesuch habe er auf Englisch eingereicht und die Befragung anlässlich der MIDES-Personalienaufnahme vom 28. September 2018 sei auf Englisch erfolgt. Er habe deshalb nicht davon ausgehen müssen, dass die weiteren Behördentermine in Ukrainisch durchgeführt werden. Bei der Anhörung habe er gleich zu Beginn erläutert, er spreche besser englisch als ukrainisch und erklärt, das Sprechen in der ukrainischen Sprache sei für ihn traumatisierend. Die Gründe dafür habe er in seinem zweiten Schreiben präzisiert. Das erneute Ansetzen einer Anhörung in englischer Sprache wäre für die Vorinstanz ohne weiteres möglich gewesen und wäre in Anbetracht der auf dem Spiel stehenden Rechtsgüter sachgerecht und deshalb zwingend indiziert gewesen. Die Vorinstanz habe sich entgegen ihren Ausführungen anlässlich der Anhörung mit seinen Asylgründen inhaltlich nicht auseinandergesetzt. Ihre Schlussfolgerung, eine materielle Prüfung der in den Schreiben geltend gemachten Asylgründe erübrige sich, stelle eine Verletzung der Untersuchungs- und Begründungspflicht und somit des Anspruchs auf rechtliches Gehör dar.</w:t>
      </w:r>
    </w:p>
    <w:p>
      <w:r>
        <w:rPr>
          <w:b/>
        </w:rPr>
        <w:t>E. 5.1</w:t>
      </w:r>
    </w:p>
    <w:p>
      <w:r>
        <w:t>Die Rüge formeller Art betreffend Verletzung des Anspruchs auf rechtliches Gehör ist vorab zu prüfen, da sie eine Kassation der vorinstanzlichen Verfügung bewirken kann (Entscheidungen und Mitteilungen der Schweizerischen Asylrekurskommission [EMARK] 2004 Nr. 38; Kölz/Häner/ Bertschi, Verwaltungsverfahren und Verwaltungsrechtspflege des Bundes, 3. Aufl. 2013, Rz. 1043 ff. m.w.H.).</w:t>
      </w:r>
    </w:p>
    <w:p>
      <w:r>
        <w:rPr>
          <w:b/>
        </w:rPr>
        <w:t>E. 5.2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dazu beispielsweise BVGE 2009/35 E. 6.4.1 m.w.H.). Unerlässliches Gegenstück dazu bildet die Pflicht der Parteien, an der Feststellung des Sachverhalts mitzuwirken (Art. 8 AsylG). Sie müssen insbesondere bei der Anhörung angeben, weshalb sie um Asyl nachsuchen (Art. 8 Abs. 1 Bst. c AsylG). Personen, die ohne triftigen Grund ihre Mitwirkungspflicht verletzen oder den Asylbehörden während mehr als 20 Tagen nicht zur Verfügung stehen, verzichten damit auf eine Weiterführung des Verfahrens. Deren Gesuch wird formlos abgeschrieben. Ein neues Gesuch kann frühestens nach drei Jahren deponiert werden. Vorbehalten bleibt die Einhaltung der Flüchtlingskonvention vom 28. Juli 1951 (Art. 8 Abs. 3bis AsylG).</w:t>
      </w:r>
    </w:p>
    <w:p>
      <w:r>
        <w:rPr>
          <w:b/>
        </w:rPr>
        <w:t>E. 5.3</w:t>
      </w:r>
    </w:p>
    <w:p>
      <w:r>
        <w:t>Die Vorinstanz stellt sich auf den Standpunkt, durch die Weigerung des Beschwerdeführers anlässlich der Anhörung in seiner Muttersprache über seine Asylgründe Auskunft zu erteilen, habe er seine Mitwirkungspflicht gemäss Art. 8 Abs. 1 Bst. c AsylG verletzt. Entgegen der gesetzlich formulierten Rechtsfolge in Art. 8 Abs. 3bis AsylG schrieb sie das Asylgesuch jedoch nicht formlos ab, sondern führte aus, über das Asylgesuch werde aufgrund der Aktenlage entschieden. Anlässlich der Anhörung informierte sie den Beschwerdeführer darüber, dass sein eingereichtes Schreiben als Grundlage für das weitere Vorgehen in seinem Asylverfahren betrachtet werde. Sie gab ihm sodann die Möglichkeit, zusätzliche Dokumente einzureichen (vgl. SEM-Akten A14 F9). Daraufhin legte der Beschwerdeführer ein zweites Schreiben zu seinen Asylgründen zu den Akten und erklärte darin auch, weshalb er die Anhörung nicht auf Ukrainisch habe durchführen wollen. In der Verfügung fasste die Vorinstanz die Asylgründe des Beschwerdeführers gestützt auf seine Schreiben zwar im Sachverhalt zusammen, verzichtete jedoch zufolge der Verletzung der Mitwirkungspflicht auf eine materielle Prüfung seiner Asylgründe. Mit diesem Vorgehen hat die Vorinstanz das rechtliche Gehör des Beschwerdeführers verletzt. Es geht nicht an, dass sie ihm mitteilt, sein Asylgesuch werde gestützt auf seine Schreiben beurteilt, dann jedoch auf eine materielle Prüfung seiner Asylgründe verzichtet. Sie hätte seine Vorbringen tatsächlich hören, ernsthaft prüfen und in ihrer Entscheidfindung angemessen berücksichtigen müssen. Bei dieser Ausgangslage kann offen gelassen werden, ob und inwiefern der Beschwerdeführer seine Mitwirkungspflicht verletzt hat.</w:t>
      </w:r>
    </w:p>
    <w:p>
      <w:r>
        <w:rPr>
          <w:b/>
        </w:rPr>
        <w:t>E. 6</w:t>
      </w:r>
    </w:p>
    <w:p>
      <w:r>
        <w:t>Das Bundesverwaltungsgericht entscheidet in der Regel reformatorisch. Nur ausnahmsweise wird eine angefochtene Verfügung kassiert und an die Vorinstanz zurückgewiesen. Vorliegend liegt der Mangel der angefochtenen Verfügung in einer Verletzung des rechtlichen Gehörs des Beschwerdeführers. Unter diesen Umständen rechtfertigt sich gemäss Praxis des Bundesverwaltungsgerichts die Kassation der angefochtenen Verfügung. Auf diese Weise bleibt dem Beschwerdeführer der Instanzenzug erhalten (vgl. dazu BVGE 2009/53 E. 7.3, 2008/47 E. 3.3.4, 2008/14 E. 4.1).</w:t>
      </w:r>
    </w:p>
    <w:p>
      <w:r>
        <w:rPr>
          <w:b/>
        </w:rPr>
        <w:t>E. 7</w:t>
      </w:r>
    </w:p>
    <w:p>
      <w:r>
        <w:t>Nach dem Gesagten ist die Beschwerde gutzuheissen, die angefochtene Verfügung vom 21. Dezember 2018 aufzuheben und die Sache zur neuen Entscheidung an die Vorinstanz zurückzuweisen.</w:t>
      </w:r>
    </w:p>
    <w:p>
      <w:r>
        <w:rPr>
          <w:b/>
        </w:rPr>
        <w:t>E. 8</w:t>
      </w:r>
    </w:p>
    <w:p>
      <w:r>
        <w:t>Bei diesem Ausgang des Verfahrens sind keine Kosten zu erheben (Art. 63 Abs. 1 und 2 VwVG). Das Gesuch um Verzicht auf die Erhebung von Verfahrenskosten nach Art. 65 Abs. 1 VwVG ist somit gegenstandslos geworden.</w:t>
      </w:r>
    </w:p>
    <w:p>
      <w:r>
        <w:rPr>
          <w:b/>
        </w:rPr>
        <w:t>E. 9</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Er war jedoch auf Beschwerdeebene durch eine zugewiesene Rechtsvertretung im Sinne von Art. 25 TestV vertreten. Nach Art. 28 TestV richtet das SEM dem Leistungserbringer - der nach Art. 26 TestV für die Sicherstellung, Organisation und Durchführung der Rechtsvertretung zuständig ist - eine Entschädigung aus für die Wahrnehmung der Rechtsvertretung im Beschwerdeverfahren, insbesondere das Verfassen einer Beschwerdeschrift. Eine Parteientschädigung ist deshalb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