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E-5299/2014 vom 11. Februar 2015</w:t>
      </w:r>
    </w:p>
    <w:p>
      <w:r>
        <w:t>Bundesverwaltungsgericht, 2015-02-11, DE</w:t>
      </w:r>
    </w:p>
    <w:p>
      <w:r>
        <w:rPr>
          <w:b/>
        </w:rPr>
        <w:t xml:space="preserve">Quelle: </w:t>
      </w:r>
      <w:r>
        <w:t>https://mcp.opencaselaw.ch/entscheid/bvger_E-5299_2014</w:t>
      </w:r>
    </w:p>
    <w:p>
      <w:r>
        <w:t>FR: TAF E-5299/2014 du 11 février 2015</w:t>
      </w:r>
    </w:p>
    <w:p>
      <w:r>
        <w:t>IT: TAF E-5299/2014 del 11 febbraio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Begründung der Begehren bindet die Beschwerdeinstanz in keinem Fall (Art. 62 Abs. 4 VwVG). Im Rahmen ihrer Kognition (Art. 106 Abs. 1 AsylG) kann sie die Beschwerde auch aus anderen als den geltend gemachten Gründen gutheissen oder den angefochtenen Entscheid im Ergebnis mit einer Begründung bestätigen, die von jener der Vorinstanz abweicht (Fritz Gygi, Bundesverwaltungsrechtspflege, 2. Aufl. 1983, S. 212).</w:t>
      </w:r>
    </w:p>
    <w:p>
      <w:r>
        <w:rPr>
          <w:b/>
        </w:rPr>
        <w:t>E. 3</w:t>
      </w:r>
    </w:p>
    <w:p>
      <w:r>
        <w:t>Die Vorinstanz stellt in der angefochtenen Verfügung fest, die italienischen Behörden hätten innerhalb der festgelegten Frist zu ihrem Übernahmeersuchen keine Stellung genommen. Damit sei die Zuständigkeit zur Prüfung des Asyl- und Wegweisungsverfahrens am 28. August 2014 an Italien übergegangen. Sodann lasse sich aus der Anwesenheit des Cousins des Beschwerdeführers in der Schweiz kein Zuständigkeitskriterium ableiten, zumal auch keine Hinweise auf ein besonderes Abhängigkeitsverhältnis zwischen dem Beschwerdeführer und dem Cousin bestehen würden.</w:t>
      </w:r>
    </w:p>
    <w:p>
      <w:r>
        <w:rPr>
          <w:b/>
        </w:rPr>
        <w:t>E. 4.1</w:t>
      </w:r>
    </w:p>
    <w:p>
      <w:r>
        <w:t>In der Rechtsmitteleingabe wird vorab eine unvollständige Feststellung des Sachverhalts gerügt.</w:t>
      </w:r>
    </w:p>
    <w:p>
      <w:r>
        <w:rPr>
          <w:b/>
        </w:rPr>
        <w:t>E. 4.2</w:t>
      </w:r>
    </w:p>
    <w:p>
      <w:r>
        <w:t>Eine Sachverhaltsfeststellung ist unvollständig, wenn nicht über alle für den Entscheid rechtswesentlichen Sachumstände Beweis erhoben wurde (Kölz/Häner/Bertschi, Verwaltungsverfahren und Verwaltungsrechtspflege des Bundes, 3. Aufl. 2013, Rz. 1043). Da der Sachverhalt im Zeitpunkt des Beschwerdeentscheides massgebend ist, sind auch Tatsachen zu berücksichtigen, die sich nach dem Entscheid der Vorinstanz zugetragen haben. Selbst verspätet vorgebrachte Umstände sind zu berücksichtigen, wenn sie ausschlaggebend erscheinen (Art. 32 Abs. 2 VwVG; Kölz/Häner/Bertschi a.a.O. Rz 1045).</w:t>
      </w:r>
    </w:p>
    <w:p>
      <w:r>
        <w:rPr>
          <w:b/>
        </w:rPr>
        <w:t>E. 4.3</w:t>
      </w:r>
    </w:p>
    <w:p>
      <w:r>
        <w:t>Die angefochtene Verfügung datiert vom 2. September 2014 und wurde von der Vorinstanz am 5. September 2014 versandt (vgl. Ausgangsstempel Vorinstanz). Gleichentags ging bei der Vorinstanz ein Schreiben des Leiters des Zentrums für Asylsuchende vom 3. September 2014 mit dem Betreff "Besonders verletzliche Person" ein (vgl. Eingangsstempel Vorinstanz), wonach sich der Eintritt des Beschwerdeführers sehr schwierig gestalte und der Beschwerdeführer nicht ohne fremde Hilfe leben könne. Am 12. September 2014 gingen bei der Vorinstanz sodann ein weiteres Schreiben des Zentrumleiters sowie ein ärztlicher Bericht von Dr. med. E._______, vom 10. September 2014 ein. Bei dieser Sachlage, kann der Vorinstanz im Zeitpunkt des Erlasses ihrer Verfügung eine unvollständige Sachverhaltsfeststellung nicht vorgehalten werden. Sie hat den Sachverhalt demnach richtig und - soweit ihr bekannt - vollständig festgestellt. Die Rüge geht insoweit fehl.</w:t>
      </w:r>
    </w:p>
    <w:p>
      <w:r>
        <w:rPr>
          <w:b/>
        </w:rPr>
        <w:t>E. 4.4</w:t>
      </w:r>
    </w:p>
    <w:p>
      <w:r>
        <w:t>Beim Beschwerdeführer handelt es sich offensichtlich um eine vulnerable Person. Dies anerkannte die Vorinstanz auch in ihrer Vernehmlassung vom 17. Oktober 2014. Gemäss dem Schreiben des Zentrumsleiters vom 19. September 2014 benötigt der Beschwerdeführer eine Begleitung, die ihm in alltäglichen Belangen, ausser seiner persönlichen Hygiene, zur Seite steht. Er sei unfähig, einzukaufen, zu kochen, Mündliches oder Schriftliches zu verstehen, sich eigenständig zu orientieren und Termine wahrzunehmen. Alle neuen Umstände und Situationen würden ihn verwirren beziehungsweise ihn komplett verloren und abweisend machen. Oftmals stehe er irgendwo und starre die längste Zeit irgendwohin. Nur bestimmte Personen hätten Zugang zu ihm. Gemäss dem ärztlichen Schreiben vom 10. September 2014 leidet der Beschwerdeführer an einer schweren depressiven Verstimmung mit deutlicher Suizidalität. Laut dem Verlaufsbericht der Psychologin vom 4. November 2014 leide der Beschwerdeführer wahrscheinlich an einer Posttraumatischen Belastungsstörung.</w:t>
      </w:r>
    </w:p>
    <w:p>
      <w:r>
        <w:rPr>
          <w:b/>
        </w:rPr>
        <w:t>E. 4.5</w:t>
      </w:r>
    </w:p>
    <w:p>
      <w:r>
        <w:t>Das Bundesverwaltungsgericht überprüft den Sachverhalt, wie er in der Verfügung festgestellt ist, auf Vollständigkeit und Richtigkeit im Zeitpunkt des Beschwerdeentscheides (vgl. vorstehend Ziff. 4.2; BVGE 2012/21 E. 5). Es ist indes nicht Sache des Gerichts, den Sachverhalt wie eine erstinstanzliche Verfahrensbehörde festzustellen, zumal dem Beschwerdeführer dadurch eine Instanz verloren ginge. Darüber hinaus entscheidet das Gericht auf dem Gebiet des Asyls endgültig. Sodann kann das Gericht auch nicht ohne weiteres auf Ausführungen der Vorinstanz in der Vernehmlassung abstellen. Diese sind nämlich keine amtlichen Feststellungen, sondern sind zunächst lediglich als Parteibehauptungen im Beschwerdeverfahren zu qualifizieren. Da sich die angefochtene Verfügung nicht zum Umstand äussert, dass es sich beim Beschwerdeführer um eine vulnerable Person handelt, fehlt es dem Gericht an der Grundlage, den Sachverhalt im Zeitpunkt des Beschwerdeentscheids auf Vollständigkeit und Richtigkeit zu überprüfen. Die Sache ist daher zur Feststellung des Sachverhalts und neuem Entscheid an die Vorinstanz zurückzuweisen. Nach der Rückweisung wird die Vorinstanz die Vorbringen des Beschwerdeführers zu seinem Gesundheitszustand beziehungsweise psychischen Befinden zu würdigen haben. Vor entsprechender Sachverhaltsfeststellung hat sie dem Beschwerdeführer das rechtliche Gehör zu gewähren. Im Lichte dieses ergänzten Sachverhalts wird die Vorinstanz ihr Ermessen im Hinblick auf einen Selbsteintritt neu ausüben.</w:t>
      </w:r>
    </w:p>
    <w:p>
      <w:r>
        <w:rPr>
          <w:b/>
        </w:rPr>
        <w:t>E. 4.6</w:t>
      </w:r>
    </w:p>
    <w:p>
      <w:r>
        <w:t>Die Beschwerde ist demnach gutzuheissen, die Verfügung vom 2. September 2014 aufzuheben und die Sache zur Feststellung des Sachverhalts und neuen Entscheidung an die Vorinstanz zurückzuweisen.</w:t>
      </w:r>
    </w:p>
    <w:p>
      <w:r>
        <w:rPr>
          <w:b/>
        </w:rPr>
        <w:t>E. 5.1</w:t>
      </w:r>
    </w:p>
    <w:p>
      <w:r>
        <w:t>Bei diesem Ausgang des Verfahrens sind dem Beschwerdeführer keine Verfahrenskosten aufzuerlegen (Art. 63 Abs. 1 VwVG). Damit wird die mit Zwischenverfügung vom 23. Juli 2014 gewährte unentgeltliche Prozessführung gegenstandslos.</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w:t>
      </w:r>
    </w:p>
    <w:p>
      <w:r>
        <w:rPr>
          <w:b/>
        </w:rPr>
        <w:t>E. 5.3</w:t>
      </w:r>
    </w:p>
    <w:p>
      <w:r>
        <w:t>Der Rechtsvertreter macht für die Beschwerdeeingabe einen zeitlichen Aufwand von 4 Stunden (Stundenansatz von Fr. 194.40, inkl. MwSt), und Auslagen von Fr. 54.- , insgesamt Fr. 831.60 geltend. Für die Eingaben vom 18. September 2014 und 20. November 2014 können weitere drei Stunden sowie Auslagen von Fr. 30.- veranschlagt werden. In Anwendung von Art. 8, 9 und 11 VGKE ist die Parteientschädigung somit auf Fr. 1'444.80 (inkl. Auslagen und MwSt) festzusetzen. Das SEM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