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E-5297/2019 vom 11. Oktober 2021</w:t>
      </w:r>
    </w:p>
    <w:p>
      <w:r>
        <w:t>Bundesverwaltungsgericht, 2021-10-11, DE</w:t>
      </w:r>
    </w:p>
    <w:p>
      <w:r>
        <w:rPr>
          <w:b/>
        </w:rPr>
        <w:t xml:space="preserve">Quelle: </w:t>
      </w:r>
      <w:r>
        <w:t>https://mcp.opencaselaw.ch/entscheid/bvger_E-5297_2019</w:t>
      </w:r>
    </w:p>
    <w:p>
      <w:r>
        <w:t>FR: TAF E-5297/2019 du 11 octobre 2021</w:t>
      </w:r>
    </w:p>
    <w:p>
      <w:r>
        <w:t>IT: TAF E-5297/2019 del 11 ottobre 2021</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verwendet nachfolgend die neue Gesetzesbezeichnung.</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sowie 2012/5 E. 2.2).</w:t>
      </w:r>
    </w:p>
    <w:p>
      <w:r>
        <w:rPr>
          <w:b/>
        </w:rPr>
        <w:t>E. 5</w:t>
      </w:r>
    </w:p>
    <w:p>
      <w:r>
        <w:t>Die Vorinstanz gelangt in der angefochtenen Verfügung zum Schluss, die Vorbringen des Beschwerdeführers hielten weder den Anforderungen an das Glaubhaftmachen gemäss Art. 7 AsylG noch denjenigen an die Flüchtlingseigenschaft nach Art. 3 AsylG stand. Zur Begründung wird in der Verfügung ausgeführt, der Beschwerdeführer habe sich anlässlich der Befragungen in diverse Widersprüche verstrickt, namentlich in Bezug zu seiner Entführung im Jahre 20(...), zum Kontakt mit seiner Ehefrau, zum Vorfall im April 20(...) im Familiengeschäft und zu seinen Aufenthalten von 20(...) bis zur Auseise im Jahre 20(...). Zudem seien die Ausführungen zur geltend gemachten Entführung und der Auseinandersetzung im April 20(...) unpersönlich und ohne Realkennzeichen ausgefallen. Dass seine Angehörigen im Rahmen der Botschaftsabklärung betreffend den jüngeren Bruder (N [...]) seine Ausführungen in den meisten Punkten gestützt hätten, vermöge an der Einschätzung der Unglaubhaftigkeit seiner Fluchtvorbringen im Ergebnis nichts zu ändern. Vor diesem Hintergrund könne auf eine eingehende Würdigung der eingereichten Beweismittel verzichtet werden. Schliesslich weise er kein Risikoprofil auf, welches ihn für den Fall der Rückkehr in sein Heimatland als besonders gefährdet erscheinen liesse.</w:t>
      </w:r>
    </w:p>
    <w:p>
      <w:r>
        <w:rPr>
          <w:b/>
        </w:rPr>
        <w:t>E. 6</w:t>
      </w:r>
    </w:p>
    <w:p>
      <w:r>
        <w:t>In der Rechtsmitteleingabe führt der Beschwerdeführer vorab aus, die (...) seines Vaters, in welcher er und seine Brüder gearbeitet hätten, habe während des Krieges auch (...) für die Liberation Tigers of Tamil Eelam (LTTE) ausgeführt. Im Übrigen macht er im Wesentlichen geltend, sie seien immer wieder um Geld erpresst und er sowie seine Brüder deshalb entführt und misshandelt worden. Seit der Flucht würden sich immer wieder Männer bei seinen Angehörigen nach ihm erkundigen. Er befürchte, dass er bei einer Rückkehr erneut überfallen und entführt oder allenfalls sogar getötet werde. In Jaffna erhielten Tamilen von der Polizei keinen Schutz.</w:t>
      </w:r>
    </w:p>
    <w:p>
      <w:r>
        <w:rPr>
          <w:b/>
        </w:rPr>
        <w:t>E. 7</w:t>
      </w:r>
    </w:p>
    <w:p>
      <w:r>
        <w:t>In der Vernehmlassung führt die Vorinstanz aus, in der Beschwerdeschrift würden lediglich die bereits bei der Anhörung geltend gemachten Vorbringen wiederholt, ohne dabei konkrete Mängel an der angefochtenen Verfügung darzulegen. Auf eine eigentliche Stellungnahme werde deshalb verzichtet und es werde auf die Verfahrensakten des Bruders des Beschwerdeführers verwiesen.</w:t>
      </w:r>
    </w:p>
    <w:p>
      <w:r>
        <w:rPr>
          <w:b/>
        </w:rPr>
        <w:t>E. 8</w:t>
      </w:r>
    </w:p>
    <w:p>
      <w:r>
        <w:t>Im Rahmen der Replik bringt der Beschwerdeführer vor, die zu den Akten gereichten Aufnahmen seines Bruders welche zeigten, wie dieser sich nach dem erlittenen (...) im Spital habe pflegen lassen, würden seine Fluchtvorbringen untermauern. Weitere Dokumente würden sodann darlegen, dass er kurz vor seiner Ausreise an einem Gedenkanlass teilgenommen habe und davon ein Bild in den Medien veröffentlicht worden sei. Ferner reiche er Aufnahmen zu den Akten, welche die erlittenen Misshandlungen des jüngsten Bruders zeigen würden. Aus den anwaltlichen Schreiben gehe hervor, dass das staatliche Interesse an ihm und seinem Bruder nach wie vor aktuell sei. Die Art der erlittenen Repression werde häufig gegen Tamilen angewendet, welche im Verdacht stehen würden, in irgendeiner Weise mit den LTTE in Kontakt gestanden zu haben. Er könne dabei nicht auf den Schutz seines Heimatstaates zählen. Schliesslich seien bei der Beurteilung seiner Flüchtlingseigenschaft auch die jüngsten Ereignisse in Sri Lanka, namentlich die Veränderung der Lage seit dem Machtwechsel im November 2019, zu berücksichtigen.</w:t>
      </w:r>
    </w:p>
    <w:p>
      <w:r>
        <w:rPr>
          <w:b/>
        </w:rPr>
        <w:t>E. 9.1</w:t>
      </w:r>
    </w:p>
    <w:p>
      <w:r>
        <w:t>Die Vorinstanz hat in der angefochtenen Verfügung eingehend und überzeugend dargelegt, weshalb sie die Asylvorbringen des Beschwerdeführers in zahlreichen wesentlichen Punkten für widersprüchlich und oftmals unsubstantiiert hält. Der Beschwerdeführer begnügt sich in der Rechtsmitteleingabe über weite Strecken damit, die bereits von der Vorinstanz als unglaubhaft qualifizierten Aussagen zu wiederholen, womit es ihm nicht gelingt darzulegen, inwiefern sie in der angefochtenen Verfügung das Vorliegen von Fluchtgründen zu Unrecht verneint hat. Insbesondere vermögen auch die im vorinstanzlichen Verfahren eingereichten Beweismittel keinen relevanten Beweiswert zu entfalten. Die Fotografien, welche den verletzten Beschwerdeführer nach der Entführung zeigen sollen, vermögen den behaupteten Kontext nicht herzustellen. Die Schreiben zweier Geistlicher sind vor dem Hintergrund der Inkohärenz seiner Fluchtvorbringen als Gefälligkeitsschreiben zu qualifizieren. Soweit der Beschwerdeführer in der Rechtsmitteleingabe in äusserst knapper Weise darauf hinweist, das Familienunternehmen habe früher auch (...) für die LTTE ausgeführt, ist festzuhalten, dass dadurch weder dargelegt ist, ob die heimatlichen Autoritäten davon jemals Kenntnis hatten, noch ob dadurch er oder sein näheres Umfeld in deren Fokus geraten sind. Dies ganz abgesehen von der Frage, ob das Vorbringen den Tatsachen entspricht. Betreffend seine im erstinstanzlichen Verfahren geltend gemachte eigene LTTE-Tätigkeit ist festzustellen, dass diese aufgrund augenfälliger Widersprüche (vgl. SEM-Akten A20/19 F134 ff.) als unglaubhaft einzustufen ist. Im Zusammenhang mit der geltend gemachten Verfolgung seiner beiden Brüder ist festzuhalten, dass er aus den eingereichten Fotografien, welche Personen mit (teilweise schwersten) Verletzungen zeigen, nichts zu seinen Gunsten abzuleiten vermag, lassen die Bilder doch weder eine zuverlässige Identifizierung der darauf gezeigten Personen noch Rückschlüsse auf die Ursache der Verletzungen zu. Sodann können den Akten keine Hinweise dafür entnommen werden, der Beschwerdeführer wäre aufgrund der geltend gemachten und durch Fotografien und Zeitungsartikel untermauerten Teilnahme an einem Gedenktag im Jahre 20(...) in flüchtlingsrechtlich relevanter Weise in den Fokus der heimatlichen Behörden gerückt. Des Weiteren sind die beiden inhaltlich identischen anwaltlichen Schreiben, welche die Vorbringen des Beschwerdeführers im Kern bestätigen - auch vor dem Hintergrund des bereits Ausgeführten - als Gefälligkeitsschreiben zu qualifizieren. Im Ergebnis ist festzuhalten, dass es dem Beschwerdeführer nicht gelingt glaubhaft zu machen, dass er im Zeitpunkt seiner Ausreise in flüchtlingsrechtlich relevanter Weise von den staatlichen Behörden oder von Dritten verfolgt worden wäre. Nur ergänzungshalber sei darauf hingewiesen, dass auch nach dem politischen Machtwechsel in Sri Lanka im November 2019 kein Grund zur Annahme besteht, ganze Bevölkerungsgruppen seien kollektiver Verfolgungsgefahr ausgesetzt und dass auch die Schutzfähigkeit und Schutzwilligkeit des sri-lankischen Staates im Grundsatz weiterhin zu bejahen ist (vgl. Urteil des BVGer E-2110/2020 vom 11. Juni 2020 E. 7.1 m.w.H.).</w:t>
      </w:r>
    </w:p>
    <w:p>
      <w:r>
        <w:rPr>
          <w:b/>
        </w:rPr>
        <w:t>E. 9.2</w:t>
      </w:r>
    </w:p>
    <w:p>
      <w:r>
        <w:t>Im Referenzurteil E-1866/2015 vom 15. Juli 2016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 8.3 des genannten Urteils). Diese Rechtsprechung behält auch vor dem Hintergrund der aktuellen Situation ihr Gültigkeit. Das Bundesverwaltungsgericht hielt im erwähnten Referenzurteil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Internationale Organisation für Migration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 Der Beschwerdeführer weist kein Profil im dargelegten Sinne auf. Insbesondere vermögen seine längere Landesabwesenheit sowie der Umstand, dass er für seine Rückkehr allenfalls Einreisepapiere beschaffen muss, sein Profil nicht in flüchtlingsrechtlich relevanter Weise zu schärfen (zu den geltend gemachten LTTE-Verbindungen und der einmaligen Teilnahme an einer Gedenkfeier vgl. das bereits unter der vorstehenden Ziffer Ausgeführte).</w:t>
      </w:r>
    </w:p>
    <w:p>
      <w:r>
        <w:rPr>
          <w:b/>
        </w:rPr>
        <w:t>E. 9.3</w:t>
      </w:r>
    </w:p>
    <w:p>
      <w:r>
        <w:t>Aufgrund des Vorstehenden ergibt sich, dass die Vorinstanz die Flüchtlingseigenschaft des Beschwerdeführers zu Recht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11.2.2</w:t>
      </w:r>
    </w:p>
    <w:p>
      <w:r>
        <w:t>Weder aufgrund der Aussagen des Beschwerdeführers noch aufgrund der übrigen Akten ergeben sich Anhaltspunkte dafür, dass er für den Fall einer Ausschaffung nach Sri Lanka dort mit beachtlicher Wahrscheinlichkeit einer nach Art. 3 EMRK oder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des BVGer E-1866/2015 vom 15. Juli 2016 E. 13.2). In einem ebenfalls als Referenzurteil publizierten Entscheid erachtet das Bundesverwaltungsgericht auch den Wegweisungsvollzug ins "Vanni-Gebiet" als zumutbar (vgl. Urteil des BVGer D-3619/2016 vom 16. Oktober 2017 E. 9.5).</w:t>
      </w:r>
    </w:p>
    <w:p>
      <w:r>
        <w:rPr>
          <w:b/>
        </w:rPr>
        <w:t>E. 11.3.2</w:t>
      </w:r>
    </w:p>
    <w:p>
      <w:r>
        <w:t>Auch in individueller Hinsicht erachtet die Vorinstanz den Vollzug der Wegweisung als zumutbar. Der Beschwerdeführer verfüge über einen Schulabschluss und Arbeitserfahrung im familieneigenen Unternehmen. Weiter lebten seine beiden Eltern, ein Bruder, seine Ehefrau und deren Familie sowie weitere Verwandte in seinem Heimatland. Damit könne er in persönlicher als auch wirtschaftlicher Hinsicht auf ein bestehendes Beziehungsnetz zurückgreifen. Die Schmerzen in den Füssen und Beinen seien auch im Heimatland behandelbar. Die Beschwerdeschrift enthält diesbezüglich keine neuen Vorbringen und es kann im Übrigen - insbesondere auch bezüglich der Behandelbarkeit seiner gesundheitlichen Probleme in seiner Heimat - auf die zutreffenden Ausführungen der Vorinstanz verwiesen werden. Der Vollzug erweist sich somit als zumutbar.</w:t>
      </w:r>
    </w:p>
    <w:p>
      <w:r>
        <w:rPr>
          <w:b/>
        </w:rPr>
        <w:t>E. 11.4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13.1</w:t>
      </w:r>
    </w:p>
    <w:p>
      <w:r>
        <w:t>Bei diesem Ausgang des Verfahrens wären die Kosten dem Beschwerdeführer aufzuerlegen (Art. 63 Abs. 1 VwVG). Da ihm mit Zwischenverfügung vom 17. Oktober 2019 die unentgeltliche Prozessführung gewährt wurde und den Akten keine Hinweise für Veränderungen seiner finanziellen Verhältnisse zu entnehmen sind, sind keine Verfahrenskosten zu erheben (Art. 1-3 des Reglements vom 21. Februar 2008 über die Kosten und Entschädigungen vor dem Bundesverwaltungsgericht [VGKE, SR 173.320.2]).</w:t>
      </w:r>
    </w:p>
    <w:p>
      <w:r>
        <w:rPr>
          <w:b/>
        </w:rPr>
        <w:t>E. 13.2</w:t>
      </w:r>
    </w:p>
    <w:p>
      <w:r>
        <w:t>Das nachträglich im Lauftext der Replik vom 3. Januar 2020 gestellte Gesuch um unentgeltliche Rechtsverbeiständung könnte seine Wirkung erst mit beziehungsweise ab diesem Zeitpunkt entfalten (Kayser/Altmann, in: Auer/Müller/Schindler [Hrsg.], Kommentar zum Bundesgesetz über das Verwaltungsverfahren [VwVG], 2. Aufl., 2019, Rz. 58 zu Art. 65 VwVG). Da in der Folge nur noch unkommentiert zwei weitere Dokumente eingereicht wurden und die zirka zweieinhalbseitige Eingabe vom 3. Januar 2020 zur Hälfte aus nicht fallbezogenen allgemeinen Ausführungen zu Sri Lanka besteht, scheint sich der nicht näher substantiierte Aufwand in Grenzen zu halten, weshalb von einer nachträglichen Einsetzung und Entschädigung abzusehen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