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E-5296/2016 vom 17. Mai 2017</w:t>
      </w:r>
    </w:p>
    <w:p>
      <w:r>
        <w:t>Bundesverwaltungsgericht, 2017-05-17, DE</w:t>
      </w:r>
    </w:p>
    <w:p>
      <w:r>
        <w:rPr>
          <w:b/>
        </w:rPr>
        <w:t xml:space="preserve">Quelle: </w:t>
      </w:r>
      <w:r>
        <w:t>https://mcp.opencaselaw.ch/entscheid/bvger_E-5296_2016</w:t>
      </w:r>
    </w:p>
    <w:p>
      <w:r>
        <w:t>FR: TAF E-5296/2016 du 17 mai 2017</w:t>
      </w:r>
    </w:p>
    <w:p>
      <w:r>
        <w:t>IT: TAF E-5296/2016 del 17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Interesse an deren Aufhebung beziehungsweise Änderung. Er ist daher zur Einreichung der Beschwerde legitimiert (Art. 105 AsylG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Beschwerde,die durch einen Koordinationsentscheid des Bundesverwaltungsgerichts offensichtlich unbegründet geworden ist. Das Urteil ist deshalb nur summarisch zu begründen (Art. 111a Abs.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Dies ist der Fall,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5.1</w:t>
      </w:r>
    </w:p>
    <w:p>
      <w:r>
        <w:t>Das SEM gab zur Begründung der ablehnenden Verfügung an, weder die geltend gemachten Lebensumstände noch die Furcht vor einer späteren Einziehung in den Militärdienst oder einer Verfolgung wegen des Unterbruchs der Schulausbildung würden asylrelevante Verfolgungsmassnahmen darstellen. Zudem vermöge auch die vorgebrachte illegale Ausreise keine Furcht vor zukünftiger Verfolgung zu begründen. So habe er nie ein Aufgebot zum Militärdienst erhalten und habe demzufolge weder den Nationaldienst verweigert noch sei er aus diesem desertiert.</w:t>
      </w:r>
    </w:p>
    <w:p>
      <w:r>
        <w:rPr>
          <w:b/>
        </w:rPr>
        <w:t>E. 5.2</w:t>
      </w:r>
    </w:p>
    <w:p>
      <w:r>
        <w:t>Zur Begründung seiner Beschwerdeanträge führte der Beschwerde-führer aus, er habe Eritrea als Minderjähriger illegal verlassen und dieser Umstand sei entgegen der Auffassung der Vorinstanz flüchtlingsrechtlich durchaus relevant. Das SEM habe seine diesbezügliche Praxis kürzlich zu Unrecht verschärft und dabei auch die vom Bundesverwaltungsgericht im Grundsatzentscheid BVGE 2010/54 definierten Anforderungen für das Vorgehen bei Praxisänderungen nicht beachtet. Inhaltlich beruhe die neue Praxis auf einer ungenügenden wissenschaftlichen Grundlage. Durch die unzureichende Begründung der Verfügung verletzte das SEM auch sein rechtliches Gehör, weshalb die Sache an die Vorinstanz zurückzuweisen sei.</w:t>
      </w:r>
    </w:p>
    <w:p>
      <w:r>
        <w:rPr>
          <w:b/>
        </w:rPr>
        <w:t>E. 5.3</w:t>
      </w:r>
    </w:p>
    <w:p>
      <w:r>
        <w:t>In der Vernehmlassung äusserte sich das SEM zu den Hintergründen der Änderung seiner Praxis zur illegalen Ausreise aus Eritrea.</w:t>
      </w:r>
    </w:p>
    <w:p>
      <w:r>
        <w:rPr>
          <w:b/>
        </w:rPr>
        <w:t>E. 5.4</w:t>
      </w:r>
    </w:p>
    <w:p>
      <w:r>
        <w:t>In seiner Replik wies der Beschwerdeführer insbesondere nochmals auf die "dürftige Quellenlage" zum Umgang der heimatlichen Behörden mit illegalen Ausreisen hin und liess die Kostennote seines Rechtsbeistands zu den Akten reichen.</w:t>
      </w:r>
    </w:p>
    <w:p>
      <w:r>
        <w:rPr>
          <w:b/>
        </w:rPr>
        <w:t>E. 6.1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 Dieser begründet sein Rechtsmittel im Ergebnis ausschliesslich mit dem Vorbringen, die Praxisänderung des SEM sei inhaltlich zu Unrecht (und überdies auch formal falsch) erfolgt.</w:t>
      </w:r>
    </w:p>
    <w:p>
      <w:r>
        <w:rPr>
          <w:b/>
        </w:rPr>
        <w:t>E. 6.2</w:t>
      </w:r>
    </w:p>
    <w:p>
      <w:r>
        <w:t>Das Bundesverwaltungsgericht hat sich im Rahmen des (in seinen beiden Asylabteilungen kürzlich koordiniert entschiedenen und als Referenzurteil publizierten) Urteils D-7898/2015 vom 30. Januar 2017 mit der Frage befasst, ob Eritreerinnen und Eritreer, die ihr Land illegal verlassen haben, allein deswegen bei einer Rückkehr Verfolgung zu befürchten haben.</w:t>
      </w:r>
    </w:p>
    <w:p>
      <w:r>
        <w:rPr>
          <w:b/>
        </w:rPr>
        <w:t>E. 6.2.1</w:t>
      </w:r>
    </w:p>
    <w:p>
      <w:r>
        <w:t>Nach einer umfassenden Analyse aller zur Verfügung stehenden Länderinformationen kam das Gericht zum Schluss, dass sich die bisherige Praxis nicht mehr aufrechterhalten liess und vom SEM zu Recht angepasst worden war.</w:t>
      </w:r>
    </w:p>
    <w:p>
      <w:r>
        <w:rPr>
          <w:b/>
        </w:rPr>
        <w:t>E. 6.2.2</w:t>
      </w:r>
    </w:p>
    <w:p>
      <w:r>
        <w:t>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w:t>
      </w:r>
    </w:p>
    <w:p>
      <w:r>
        <w:rPr>
          <w:b/>
        </w:rPr>
        <w:t>E. 6.2.3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6.3</w:t>
      </w:r>
    </w:p>
    <w:p>
      <w:r>
        <w:t>Aus den Akten des Beschwerdeführers werden solche zusätzlichen Gefährdungsfaktoren nicht ersichtlich. Der Beschwerdeführer hat bestenfalls glaubhaft machen können, dass er aus schwierigen familiären respektive sozialen Verhältnissen stammt und deswegen die Schule nicht mehr besuchen konnte. Er hatte auch noch keinen Kontakt mit den heimatlichen Militärbehörden im Hinblick auf eine allfällige Rekrutierung (vgl. Entscheidungen und Mitteilungen der vormaligen Schweizerischen Asylrekurskommission [EMARK] 2006 Nr. 3 S. 31 ff.).</w:t>
      </w:r>
    </w:p>
    <w:p>
      <w:r>
        <w:rPr>
          <w:b/>
        </w:rPr>
        <w:t>E. 6.4</w:t>
      </w:r>
    </w:p>
    <w:p>
      <w:r>
        <w:t>Es ist dem Beschwerdeführer somit nicht gelungen, eine relevante Verfolgungsgefahr im Sinn von Art. 3 respektive Art. 54 AsylG nachzuweisen oder glaubhaft darzutun. Das SEM hat seine Flüchtlingseigenschaft folglich zu Recht verneint.</w:t>
      </w:r>
    </w:p>
    <w:p>
      <w:r>
        <w:rPr>
          <w:b/>
        </w:rPr>
        <w:t>E. 7.1</w:t>
      </w:r>
    </w:p>
    <w:p>
      <w:r>
        <w:t>Der Beschwerdeführer rügt in seiner Beschwerde ausserdem, das SEM habe nicht das korrekte Vorgehen befolgt, welches das Bundesverwaltungsgericht im Grundsatzentscheid für Praxisänderungen vorgeschrieben habe.</w:t>
      </w:r>
    </w:p>
    <w:p>
      <w:r>
        <w:rPr>
          <w:b/>
        </w:rPr>
        <w:t>E. 7.2</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w:t>
      </w:r>
    </w:p>
    <w:p>
      <w:r>
        <w:t>Diese Regeln waren indessen bei der Praxisänderung vom Sommer 2016 entgegen der Auffassung des Beschwerdeführers für das SEM nicht massgebend:</w:t>
      </w:r>
    </w:p>
    <w:p>
      <w:r>
        <w:rPr>
          <w:b/>
        </w:rPr>
        <w:t>E. 7.3.1</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w:t>
      </w:r>
    </w:p>
    <w:p>
      <w:r>
        <w:rPr>
          <w:b/>
        </w:rPr>
        <w:t>E. 7.3.2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ARK);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w:t>
      </w:r>
    </w:p>
    <w:p>
      <w:r>
        <w:rPr>
          <w:b/>
        </w:rPr>
        <w:t>E. 7.3.3</w:t>
      </w:r>
    </w:p>
    <w:p>
      <w:r>
        <w:t>Schliesslich war die Praxisänderung des SEM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7.3.4</w:t>
      </w:r>
    </w:p>
    <w:p>
      <w:r>
        <w:t>Zusammenfassend ist festzustellen, dass das Vorgehen des SEM im Zusammenhang mit der Praxisänderung vom Sommer 2016 auch unter diesem Blickwinkel nicht zu beanstanden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22. August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ebenfalls keine Veranlassung. Die Beschwerde ist abzuweisen.</w:t>
      </w:r>
    </w:p>
    <w:p>
      <w:r>
        <w:rPr>
          <w:b/>
        </w:rPr>
        <w:t>E. 11.1</w:t>
      </w:r>
    </w:p>
    <w:p>
      <w:r>
        <w:t>Bei diesem Ausgang des Verfahrens wären die Kosten dem Beschwerdeführer aufzuerlegen (Art. 63 Abs. 1 VwVG). Nachdem der Instruktionsrichter sein Gesuch um Gewährung der unentgeltlichen Prozessführung gutgeheissen hatte und den Akten keine Hinweise auf eine Veränderung der finanziellen Verhältnisse zu entnehmen sind, ist von einer Kostenauflage abzusehen.</w:t>
      </w:r>
    </w:p>
    <w:p>
      <w:r>
        <w:rPr>
          <w:b/>
        </w:rPr>
        <w:t>E. 11.2</w:t>
      </w:r>
    </w:p>
    <w:p>
      <w:r>
        <w:t>Mit der Instruktionsverfügung vom 7. September 2016 war ausserdem das Gesuch des Beschwerdeführers um amtliche Verbeiständung (Art. 110a Abs. 1 VwVG) gutgeheissen und sein Rechtsvertreter als Rechtsbeistand eingesetzt worden. Demnach ist diesem ein amtliches Honorar für seine notwendigen Aufwendungen im Beschwerdeverfahren auszurichten. Der Rechtsbeistand hat eine Kostennote eingereicht, die den Verfahrensumständen angemessen erscheint. Das amtliche Honorar ist somit auf Fr. 815.- (inkl. Auslagen und Nebenkosten)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