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E-5284/2012 vom 18. Oktober 2012</w:t>
      </w:r>
    </w:p>
    <w:p>
      <w:r>
        <w:t>Bundesverwaltungsgericht, 2012-10-18, DE</w:t>
      </w:r>
    </w:p>
    <w:p>
      <w:r>
        <w:rPr>
          <w:b/>
        </w:rPr>
        <w:t xml:space="preserve">Quelle: </w:t>
      </w:r>
      <w:r>
        <w:t>https://mcp.opencaselaw.ch/entscheid/bvger_E-5284_2012</w:t>
      </w:r>
    </w:p>
    <w:p>
      <w:r>
        <w:t>FR: TAF E-5284/2012 du 18 octobre 2012</w:t>
      </w:r>
    </w:p>
    <w:p>
      <w:r>
        <w:t>IT: TAF E-5284/2012 del 18 ottobre 2012</w:t>
      </w:r>
    </w:p>
    <w:p>
      <w:pPr>
        <w:pStyle w:val="Heading2"/>
      </w:pPr>
      <w:r>
        <w:t>Regeste</w:t>
      </w:r>
    </w:p>
    <w:p>
      <w:r>
        <w:t>Nichteintreten auf Asylgesuch (Safe Country)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2 AsylG und Art.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Bei Beschwerden gegen Nichteintretensentscheide, mit denen es das BFM ablehnt, das Asylgesuch auf seine Begründetheit hin zu überprüfen (Art. 32-35 AsylG), ist die Beurteilungskompetenz der Beschwerdeinstanz grundsätzlich auf die Frage beschränkt ist, ob die Vorinstanz zu Recht auf das Asylgesuch nicht eingetreten ist. Bei Unrechtmässigkeit des Nichteintretensentscheides enthält sich die Beschwerdeinstanz einer selbständigen materiellen Prüfung, hebt die angefochtene Verfügung auf und weist die Sache zu neuer Entscheidung an die Vorinstanz zurück (vgl. Urteil des Bundesverwaltungsgerichts D-250/2012 vom 27. Januar 2012, mit Verweisen). Nicht beschränkt ist die Beurteilungszuständigkeit des Bundesverwaltungsgerichts dagegen hinsichtlich der Frage der Wegweisung und deren Vollzugs, da das BFM diesbezüglich eine materielle Prüfung und Entscheidung vorzunehmen hat (vgl. Art. 44 AsylG i.V.m. Art. 83 Abs. 1 - 4 AuG).</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Auf Gesuche von Asylsuchenden aus verfolgungssicheren Staaten nach Art. 6a Abs. 2 Bst. a AsylG wird nicht eingetreten, ausser es gebe Hinweise auf Verfolgung (Art. 34 Abs. 1 AsylG).</w:t>
      </w:r>
    </w:p>
    <w:p>
      <w:r>
        <w:rPr>
          <w:b/>
        </w:rPr>
        <w:t>E. 3.2</w:t>
      </w:r>
    </w:p>
    <w:p>
      <w:r>
        <w:t>Gemäss Art. 6a Abs. 2 Bst. a AsylG bezeichnet der Bundesrat Staaten, in denen nach seinen Feststellungen Sicherheit vor Verfolgung besteht, als sichere Heimat- oder Herkunftsstaaten (sogenannte "safe country").</w:t>
      </w:r>
    </w:p>
    <w:p>
      <w:r>
        <w:rPr>
          <w:b/>
        </w:rPr>
        <w:t>E. 3.3</w:t>
      </w:r>
    </w:p>
    <w:p>
      <w:r>
        <w:t>Mit Beschluss vom 6. März 2009 (in Kraft seit dem 1. April 2009) hat der Bundesrat Serbien zum "safe country" erklärt.</w:t>
      </w:r>
    </w:p>
    <w:p>
      <w:r>
        <w:rPr>
          <w:b/>
        </w:rPr>
        <w:t>E. 4.1</w:t>
      </w:r>
    </w:p>
    <w:p>
      <w:r>
        <w:t>Die Vorinstanz gelangt in der angefochtenen Verfügung zum Schluss, es gebe keine Hinweise, welche die widerlegbare Vermutung von Art. 6a Abs. 2 Bst. a AsylG umzustossen vermögen. Zur Begründung führt sie aus, die Vorbringen der Beschwerdeführenden seien teilweise widersprüchlich und offensichtlich haltlos. Der Beschwerdeführer habe sich bezüglich des Datums des Vorfalles mit seinen Söhnen widersprochen. Da es sich dabei um das zentrale Ereignis handle, welches die Familie zur Ausreise veranlasst habe, dürften diesbezüglich übereinstimmende Aussagen erwartet werden. Ferner habe sich der Beschwerdeführer hinsichtlich seines Aufenthaltsortes nach der Suche nach ihm widersprüchlich geäussert. Darüber hinaus habe er geltend gemacht, sie seien in die Schweiz gekommen, um ein besseres Leben zu führen. Des Weiteren habe sich die Beschwerdeführerin unvereinbar darüber geäussert, wann sie ohnmächtig geworden sei, und der Sohn C._______ habe den Überfall auf ihn ebenfalls widersprüchlich dargelegt. Schliesslich seien die Aussagen der Beschwerdeführenden teilweise nicht miteinander vereinbar.</w:t>
      </w:r>
    </w:p>
    <w:p>
      <w:r>
        <w:rPr>
          <w:b/>
        </w:rPr>
        <w:t>E. 4.2</w:t>
      </w:r>
    </w:p>
    <w:p>
      <w:r>
        <w:t>Der Schluss der Vorinstanz, es würden keine Hinweise auf Verfolgung im Sinne von Art. 34 Abs. 1 AsylG vorliegen, verletzt Bundesrecht nicht. Die vorinstanzliche Beweiswürdigung ist ebenfalls nicht zu beanstanden. Was die Beschwerdeführenden dagegen vorbringen, ist nicht geeignet, ihre Aussagen in einem anderen Licht erscheinen zu lassen. Die Beschwerdeführenden machen geltend, es sei ihnen nicht die Möglichkeit geboten worden, im Rahmen von zusätzlichen Anhörungen zu den Widersprüchen Stellung zu nehmen. Aufgrund der Akten steht fest, dass die Beschwerdeführenden in Übereinstimmung mit den massgebenden Verfahrensbestimmungen (Art. 26 und Art. 29 AsylG) angehört wurden. Auch wurde ihnen anlässlich der Anhörung Gelegenheit geboten, sich zu einzelnen offenkundigen Unstimmigkeiten zu äussern (vgl. z. B. A17/6 F53, A18/3 F26, A19/6 F60, F67). Einen weitergehenden Anspruch, von den Behörden nochmals angehört und mit allfälligen Widersprüchen konfrontiert zu werden, ergibt sich aus dem Gesetz nicht. Sodann hätten die Beschwerdeführenden auch noch hinreichend Gelegenheit gehabt, sich in der Rechtsmitteleingabe zu den in der angefochtenen Verfügung dargelegten Widersprüchen im Einzelnen zu äussern. Davon haben sie nicht Gebrauch gemacht. Die Rüge ist somit als unbegründet abzuweisen. Weiter zeigen die Beschwerdeführenden mit dem sinngemässen Wiederholen der Vorbringen und dem Hinweis auf die Situation der Roma in Serbien nicht auf, inwiefern die Vorinstanz zu Unrecht geschlossen habe, es würden keine Hinweise auf Verfolgung vorliegen. Solches ist auch nicht ersichtlich. Um Wiederholungen zu vermeiden, kann vollumfänglich auf die zutreffenden Erwägungen in der angefochtenen Verfügung verwiesen werden. Die Vorinstanz ist demnach zu Recht gestützt auf Art. 34 Abs. 1 AsylG auf die Asylgesuche der Beschwerdeführenden nicht eingetreten.</w:t>
      </w:r>
    </w:p>
    <w:p>
      <w:r>
        <w:rPr>
          <w:b/>
        </w:rPr>
        <w:t>E. 5</w:t>
      </w:r>
    </w:p>
    <w:p>
      <w:r>
        <w:t>Gemäss Art. 44 Abs. 1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(Art. 44 Abs. 1 AsylG; BVGE 2009/50 E. 9 S.733). Die Wegweisung wurde zu Recht verfügt.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die Beschwerdeführenden die Flüchtlingseigenschaft nicht erfüllen, beurteilt sich die Zulässigkeit des Vollzuges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der Beschwerdeführenden noch aus den Akten ergeben sich Anhaltspunkte dafür, dass sie für den Fall einer Ausschaffung nach Serbien dort mit beachtlicher Wahrscheinlichkeit einer nach Art. 3 EMRK oder Art. 1 FoK verbotenen Strafe oder Behandlung ausgesetzt wären.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In der angefochtenen Verfügung wird ausgeführt, die von der Beschwerdeführerin geltend gemachten Krankheiten (Tuberkuloseabklärung, Schilddrüsenprobleme, geschwollene Backe) könnten in Serbien behandelt werden. In der Rechtsmitteleingabe äussern sich die Beschwerdeführenden dazu nicht und bringen darüber hinaus auch nichts vor, was den Vollzug der Wegweisung als unzumutbar erscheinen liesse. Um Wiederholungen zu vermeiden, kann vollumfänglich auf die zutreffenden Erwägungen in der angefochtenen Verfügung verwiesen werden. Der Vollzug der Wegweisung ist zumutbar.</w:t>
      </w:r>
    </w:p>
    <w:p>
      <w:r>
        <w:rPr>
          <w:b/>
        </w:rPr>
        <w:t>E. 6.4</w:t>
      </w:r>
    </w:p>
    <w:p>
      <w:r>
        <w:t>Es obliegt den Beschwerdeführenden, sich bei der zuständigen Vertretung Serbiens die für eine Rückkehr notwendigen Reisedokumente zu beschaffen (Art. 8 Abs. 4 AsylG; BVGE 2008/34 E. 12), weshalb der Vollzug der Wegweisung im Sinne von Art. 83 Abs. 2 AuG möglich ist.</w:t>
      </w:r>
    </w:p>
    <w:p>
      <w:r>
        <w:rPr>
          <w:b/>
        </w:rPr>
        <w:t>E. 6.5</w:t>
      </w:r>
    </w:p>
    <w:p>
      <w:r>
        <w:t>Zusammenfassend hat die Vorinstanz den Vollzug der Wegweisung zutreffend als zulässig, zumutbar und möglich bezeichnet, weshalb eine vorläufige Aufnahme der Beschwerdeführenden ausser Betracht fällt.</w:t>
      </w:r>
    </w:p>
    <w:p>
      <w:r>
        <w:rPr>
          <w:b/>
        </w:rPr>
        <w:t>E. 7</w:t>
      </w:r>
    </w:p>
    <w:p>
      <w:r>
        <w:t>Nach dem Gesagten ergibt sich, dass die angefochtene Verfügung weder Bundesrecht verletzt noch sonst wie zu beanstanden ist (Art. 106 Abs. 1 AsylG). Die Beschwerde ist abzuweisen.</w:t>
      </w:r>
    </w:p>
    <w:p>
      <w:r>
        <w:rPr>
          <w:b/>
        </w:rPr>
        <w:t>E. 8.1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8.2</w:t>
      </w:r>
    </w:p>
    <w:p>
      <w:r>
        <w:t>Bei diesem Ausgang des Verfahrens sind die Kosten von Fr. 600.- (Art. 1 - 3 des Reglements vom 21. Februar 2008 über die Kosten und Entschädigungen vor dem Bundesverwaltungsgericht [VGKE], SR 173.320.2) den Beschwerdeführenden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