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E-5282/2019 vom 19. Dezember 2019</w:t>
      </w:r>
    </w:p>
    <w:p>
      <w:r>
        <w:t>Bundesverwaltungsgericht, 2019-12-19, DE</w:t>
      </w:r>
    </w:p>
    <w:p>
      <w:r>
        <w:rPr>
          <w:b/>
        </w:rPr>
        <w:t xml:space="preserve">Quelle: </w:t>
      </w:r>
      <w:r>
        <w:t>https://mcp.opencaselaw.ch/entscheid/bvger_E-5282_2019</w:t>
      </w:r>
    </w:p>
    <w:p>
      <w:r>
        <w:t>FR: TAF E-5282/2019 du 19 décembre 2019</w:t>
      </w:r>
    </w:p>
    <w:p>
      <w:r>
        <w:t>IT: TAF E-5282/2019 del 19 dicembre 2019</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aberkannt und das Asyl widerrufen, wenn Gründe nach Art. 1 Bst. C Ziff. 1-6 des Abkommens vom 28. Juli 1951 über die Rechtsstellung der Flüchtlinge (FK, SR 0.142.30) vorliegen.</w:t>
      </w:r>
    </w:p>
    <w:p>
      <w:r>
        <w:rPr>
          <w:b/>
        </w:rPr>
        <w:t>E. 4.1.1</w:t>
      </w:r>
    </w:p>
    <w:p>
      <w:r>
        <w:t>Die in der FK normierten sogenannten "Beendigungsklauseln" definieren die Umstände, nach denen ein Flüchtling aufhört, ein Flüchtling zu sein. Die Klauseln beruhen auf der Überlegung, dass internationaler Schutz nicht mehr gewährt werden soll, wo er nicht mehr erforderlich oder nicht mehr gerechtfertigt ist. Während die Ziffern 1 bis 4 von Art. 1 Bst. C FK dabei an das Verhalten des Flüchtlings anknüpfen, beziehen sich die Ziffern 5 und 6 auf eine Veränderung der Umstände im Heimat- oder Herkunftsland.</w:t>
      </w:r>
    </w:p>
    <w:p>
      <w:r>
        <w:rPr>
          <w:b/>
        </w:rPr>
        <w:t>E. 4.1.2</w:t>
      </w:r>
    </w:p>
    <w:p>
      <w:r>
        <w:t>Gemäss Art. 1 Bst. C Ziff. 1 FK fällt eine Person dann nicht mehr unter den Geltungsbereich der Flüchtlingskonvention, wenn sie sich freiwillig wieder unter den Schutz des Landes gestellt hat, dessen Staatsangehörigkeit sie besitzt.</w:t>
      </w:r>
    </w:p>
    <w:p>
      <w:r>
        <w:rPr>
          <w:b/>
        </w:rPr>
        <w:t>E. 4.1.3</w:t>
      </w:r>
    </w:p>
    <w:p>
      <w:r>
        <w:t>Die Aberkennung der Flüchtlingseigenschaft und der Widerruf des Asyls gestützt auf Art. 63 Abs. 1 Bst. b AsylG i.V.m. Art. 1 Bst. C Ziff. 1 FK sind gemäss Lehre und Rechtsprechung (BVGE 2010/17 E. 5.2 ff.) dann anzuordnen, wenn die folgenden drei Voraussetzungen kumulativ erfüllt sind: Die Handlung der die Flüchtlingseigenschaft innehabenden Person muss freiwillig erfolgt sein. Die als Flüchtling anerkannte Person muss in der Absicht gehandelt haben, sich dem Schutz des Heimatstaates zu unterstellen. Die Schutzgewährung durch den Heimatstaat muss tatsächlich erfolgt sein. Das Kriterium der effektiven Schutzgewährung ist erfüllt, wenn objektive Anhaltspunkte dafür bestehen, dass die als Flüchtling anerkannte Person in ihrem Heimatstaat tatsächlich nicht mehr gefährdet ist.</w:t>
      </w:r>
    </w:p>
    <w:p>
      <w:r>
        <w:rPr>
          <w:b/>
        </w:rPr>
        <w:t>E. 4.2</w:t>
      </w:r>
    </w:p>
    <w:p>
      <w:r>
        <w:t>Gemäss dem seit 1. Juni 2019 in Kraft getretenen Art. 63 Abs. 1bis AsylG (verabschiedet mit Gesetzesrevision vom 14. Oktober 2018 zur Änderung des Ausländer- und Integrationsgesetzes [AIG] vom 14. Dezember 2018, Verfahrensregelungen und Informationssysteme, AS 2019 1413 ff.; BBl 2018 1685 ff.) aberkennt das SEM die Flüchtlingseigenschaft, wenn Flüchtlinge in ihren Heimat- oder Herkunftsstaat reisen. Die Aberkennung unterbleibt, wenn die ausländische Person glaubhaft macht, dass die Reise in den Heimat- oder Herkunftsstaat aufgrund eines Zwangs erfolgte. Diese Regelungen betreffen sowohl anerkannte Flüchtlinge mit Asyl sowie Flüchtlinge mit einer vorläufigen Aufnahme.</w:t>
      </w:r>
    </w:p>
    <w:p>
      <w:r>
        <w:rPr>
          <w:b/>
        </w:rPr>
        <w:t>E. 4.3</w:t>
      </w:r>
    </w:p>
    <w:p>
      <w:r>
        <w:t>Die Vorinstanz legt diese neue Bestimmung dahingehend aus, dass der Gesetzgeber mit der Einführung von Art. 63 Abs. 1bis AsylG bewusst darauf verzichtet habe, die Aberkennung der Flüchtlingseigenschaft bei Heimatreisen von den Kriterien der beabsichtigten Unterschutzstellung sowie der effektiven Schutzgewährung abhängig zu machen. Stehe nach aktueller Gesetzeslage fest, dass eine als Flüchtling anerkannte Person in ihren Heimatstaat gereist sei, werde von der Aberkennung der Flüchtlingseigenschaft einzig dann noch abgesehen, wenn diese die Reise aufgrund eines Zwanges unternommen habe. Der Nachweis eines solchen Zwanges sei im Sinne einer Umkehr der Beweislast von der heimreisenden Person und nicht von der verfügenden Behörde zu erbringen (vgl. Handbuch Asyl und Rückkehr Artikel E6 "Die Beendigung des Asyls und die Aberkennung der Flüchtlingseigenschaft" Ziff. 1.2.1.2.).</w:t>
      </w:r>
    </w:p>
    <w:p>
      <w:r>
        <w:rPr>
          <w:b/>
        </w:rPr>
        <w:t>E. 4.4</w:t>
      </w:r>
    </w:p>
    <w:p>
      <w:r>
        <w:t>Eine weitergehende Auseinandersetzung mit der gesetzgeberischen Intention zur neu eingeführten Norm kann vorliegend unterbleiben. Ebenso muss der Frage nicht nachgegangen werden, in welchem Verhältnis Art. 63 Abs. 1bis zum nach wie vor Gültigkeit entfaltenden Art. 63 Abs. 1 Bst. b AsylG i.V.m. Art. 1 Bst. C Ziff. 1 FK steht.</w:t>
      </w:r>
    </w:p>
    <w:p>
      <w:r>
        <w:rPr>
          <w:b/>
        </w:rPr>
        <w:t>E. 4.5</w:t>
      </w:r>
    </w:p>
    <w:p>
      <w:r>
        <w:t>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 Ein Widerruf der Flüchtlingseigenschaft und des Asyls rechtfertigt sich vorliegend auch mit Blick auf die weniger restriktive Norm von Art. 63 Abs. 1 AsylG.</w:t>
      </w:r>
    </w:p>
    <w:p>
      <w:r>
        <w:rPr>
          <w:b/>
        </w:rPr>
        <w:t>E. 5.1</w:t>
      </w:r>
    </w:p>
    <w:p>
      <w:r>
        <w:t>Zunächst ist festzuhalten, dass die Beschwerdeführerin auch auf Beschwerdeebene nicht bestreitet, gemeinsam mit ihrer (...) vom (...) bis zum (...) 2019 in ihrem Heimatsstaat gewesen zu sein. Ausweislich der bei den Akten befindlichen Flugtickets reisten die Beschwerdeführerinnen von D._______ nach E._______, mithin legal und standen dabei zweifelsohne auch im Kontakt mit den heimatlichen Behörden (act. [...]).</w:t>
      </w:r>
    </w:p>
    <w:p>
      <w:r>
        <w:rPr>
          <w:b/>
        </w:rPr>
        <w:t>E. 5.2</w:t>
      </w:r>
    </w:p>
    <w:p>
      <w:r>
        <w:t>Sodann ist vorliegend die besondere Situation gegeben, dass der Beschwerdeführerin und ihrer Tochter Asyl nicht aufgrund einer staatlichen Verfolgung gewährt wurde, sondern weil (...) der Beschwerdeführerin diese über Jahre (...) soll und die heimatlichen Behörden als nicht schutzwillig angesehen wurden, die Beschwerdeführerin vor derartigen Behelligungen zu schützen. Die Beschwerdeführerin hat denn auch im vorliegenden Verfahren nicht geltend gemacht, dass sie seitens des Heimatstaates Verfolgung ausgesetzt ist. In Bezug (...) schliesslich hat sie in der Beschwerde ausgeführt, dass sie bei ihrer Heimreise gewisse Sicherheitsmassnahmen getroffen habe. So habe sie sich vor ihrer Einreise nach dem aktuellen Aufenthaltsort (...) und (...) erkundigt. Beide hätten zum Zeitpunkt ihrer Reise in C._______ geweilt. Sie und ihre Tochter seien heimlich und ohne Ankündigung in ihren Heimatstaat eingereist. Diese Ausführungen hat die Beschwerdeführerin in keiner Weise substanziiert, auch nicht, nachdem mit Verfügung vom 23. Oktober 2019 festgestellt wurde, dass ihre Heimatreise und die lediglich pauschalen Vorbringen (...) als starkes Indiz dafür zu gewichten seien, dass die von der Beschwerdeführerin geltend gemachte familiäre Bedrohungslage nicht (mehr) gegeben sei. In diesem Zusammenhang ist sodann festzustellen, dass sich die Beschwerdeführerin und ihre Tochter für einen relativ langen Zeitraum, nämlich während (...) Wochen in ihrem Heimatort aufgehalten haben. Es kann daher nicht davon ausgegangen werden, dass ihr Aufenthalt an ihrem Wohnort heimlich und unentdeckt geblieben ist.</w:t>
      </w:r>
    </w:p>
    <w:p>
      <w:r>
        <w:rPr>
          <w:b/>
        </w:rPr>
        <w:t>E. 5.3</w:t>
      </w:r>
    </w:p>
    <w:p>
      <w:r>
        <w:t>Der Beschwerdeeinwand, dass sie nicht freiwillig, sondern aufgrund einer moralischen Pflicht den schwerkranken (...) zu besuchen, zurückgereist sei, um ihn von der Nützlichkeit einer Operation zu überzeugen, schliesst weder die Freiwilligkeit der Unterschutzstellung im Sinne von Art. 63 Abs. 1 AsylG aus noch stellt dies einen "Zwang" im Sinne von Art. 63 Abs. 1bis AsylG dar. Zwar wird an dieser Stelle nicht verkannt, dass es für Flüchtlinge schwierig ist, über Jahre getrennt von nahen Familienangehörigen zu leben. Gleichwohl ist daran zu erinnern, dass der Schutz desjenigen Staates, der einer Person den Flüchtlingsstatus gewährt, ein subsidiärer ist.</w:t>
      </w:r>
    </w:p>
    <w:p>
      <w:r>
        <w:rPr>
          <w:b/>
        </w:rPr>
        <w:t>E. 5.4</w:t>
      </w:r>
    </w:p>
    <w:p>
      <w:r>
        <w:t>Zusammenfassend ist festzuhalten, dass vom Vorliegen der Voraussetzungen für die Aberkennung der Flüchtlingseigenschaft und den Widerruf des Asyls gemäss Art. 63 Abs. 1 Bst. b AsylG i.V.m. Art. 1 Bst. C Ziff. 1 FK auszugehen ist.</w:t>
      </w:r>
    </w:p>
    <w:p>
      <w:r>
        <w:rPr>
          <w:b/>
        </w:rPr>
        <w:t>E. 6</w:t>
      </w:r>
    </w:p>
    <w:p>
      <w:r>
        <w:t>Aus diesen Erwägungen ergibt sich, dass die angefochtene Verfügung Bundesrecht nicht verletzt und auch sonst nicht zu beanstanden ist (Art. 106 AsylG). Die Beschwerde ist demzufolge abzuweisen.</w:t>
      </w:r>
    </w:p>
    <w:p>
      <w:r>
        <w:rPr>
          <w:b/>
        </w:rPr>
        <w:t>E. 7</w:t>
      </w:r>
    </w:p>
    <w:p>
      <w:r>
        <w:t>Bei diesem Ausgang des Verfahrens sind die Kosten den Beschwerdeführerinnen aufzuerlegen (Art. 63 Abs. 1 VwVG) und auf insgesamt Fr. 750.- festzusetzen (Art. 1-3 des Reglements vom 21.Februar 2008 über die Kosten und Entschädigungen vor dem Bundesverwaltungsgericht [VGKE, SR 173.320.2]). Der von den Beschwerdeführerinnen am 2. November 2019 geleistete Kostenvorschuss in Höhe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