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E-5282/2016 vom 9. September 2016</w:t>
      </w:r>
    </w:p>
    <w:p>
      <w:r>
        <w:t>Bundesverwaltungsgericht, 2016-09-09, DE</w:t>
      </w:r>
    </w:p>
    <w:p>
      <w:r>
        <w:rPr>
          <w:b/>
        </w:rPr>
        <w:t xml:space="preserve">Quelle: </w:t>
      </w:r>
      <w:r>
        <w:t>https://mcp.opencaselaw.ch/entscheid/bvger_E-5282_2016</w:t>
      </w:r>
    </w:p>
    <w:p>
      <w:r>
        <w:t>FR: TAF E-5282/2016 du 9 septembre 2016</w:t>
      </w:r>
    </w:p>
    <w:p>
      <w:r>
        <w:t>IT: TAF E-5282/2016 del 9 settembre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in einer Amtssprache vor, weshalb von einer amtlichen Übersetzung abgesehen werden kann. Sie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begründeten ihren ablehnenden Entscheid damit, die von der Beschwerdeführerin geltend gemachten Vorbringen würden den Anforderungen an die Flüchtlingseigenschaft nicht standhalten. So könne den von ihr kontaktierten Behörden nicht vorgeworfen werden, ihren Schutzwillen nicht gezeigt bzw. ihrer Schutzpflicht nicht nachgekommen zu sein. Die marokkanischen Behörden hätten offensichtlich im Rahmen ihrer Möglichkeiten gehandelt und sie konkret aufgeklärt, welche weiteren Schritte sie unternehmen könne. Im Weiteren habe sie trotz mehrmaligem Nachfragen anlässlich der Bundesanhörung nicht konkretisieren können, warum sie ihre Heimat verlassen habe. Bei der von ihr angeführten Begründung, sie habe keine offizielle Arbeitsstelle annehmen wollen, damit ihre Familie sie nicht ausfindig machen könne, und sie habe gewünscht, dass ihr Ehemann und [ihr Kind] von ihren Geschwistern akzeptiert würden, handle es sich um ein persönliches und innerfamiliäres Problem, das keine Asylrelevanz begründe. Zudem habe sie ihren Angaben zufolge schon mehrmals ausserhalb von Casablanca bei Freunden oder Verwandten Wohnsitz genommen. Deshalb sei es ihr zuzumuten, sich ihrer aktuellen innerfamiliären Situation durch Wegzug in eine andere Stadt in Marokko zu entziehen, zumal sie und ihr Ehemann schon vorher bei ihrem Schwager gewohnt hätten.</w:t>
      </w:r>
    </w:p>
    <w:p>
      <w:r>
        <w:rPr>
          <w:b/>
        </w:rPr>
        <w:t>E. 5.2</w:t>
      </w:r>
    </w:p>
    <w:p>
      <w:r>
        <w:t>In der Rechtsmitteleingabe wird demgegenüber ausgeführt, die Beschwerdeführerin und [ihr Kind] seien wegen des familiären Konflikts zum Verlassen ihres Heimatlandes gezwungen gewesen. Die Beschwerdeführerin sei wegen ihrer Heirat mit einem dunkelhäutigen Christen und der Geburt [ihres Kindes] insbesondere seitens ihres Bruders in Gefahr gewesen. Schliesslich habe ihr Ehemann damit begonnen, ihr mit der Wegnahme [des Kindes] zu drohen, was sie nicht hätte akzeptieren können.</w:t>
      </w:r>
    </w:p>
    <w:p>
      <w:r>
        <w:rPr>
          <w:b/>
        </w:rPr>
        <w:t>E. 6.1</w:t>
      </w:r>
    </w:p>
    <w:p>
      <w:r>
        <w:t>Nach Prüfung der Akten gelangt das Bundesverwaltungsgericht zum Schluss, dass das Staatssekretariat die Asylgesuche der Beschwerdeführerinnen zu Recht abgewiesen hat. Es hat in seinem Entscheid die Gründe angeführt, welche auf die fehlende Asylrelevanz der Vorbringen der Beschwerdeführerinnen schliessen lassen. Insbesondere ist den vorinstanzlichen Erwägungen zuzustimmen, wonach die marokkanischen Behörden als schutzwillig und schutzfähig zu bezeichnen sind. Zudem haben diese der Beschwerdeführerin (Mutter) aufgezeigt, wie sie sich gegen die familiären Übergriffe insbesondere seitens ihres Bruders wehren könne. Die weiteren Aussagen der Beschwerdeführerin basieren auf reinen Vermutungen und Spekulationen, welche die bereits erwähnten familiären Probleme tangieren und damit asylrechtlich nicht relevant sind. Insgesamt kann daher auf die zutreffenden Ausführungen in der angefochtenen Verfügung verwiesen werden, welchen in der Beschwerde keine Einwände entgegengehalten werden. An dieser Stelle ist zudem festzustellen, dass auf Beschwerdeebene erstmals geltend gemacht wird, der Ehemann der Beschwerdeführerin habe damit gedroht, ihr das Kind wegzunehmen. Dies kann indessen mit ihrem Vorbringen im vorinstanzlichen Verfahren, wo sie auf entsprechende Fragen hin angab, weder sie noch ihr Ehemann möchte sich vom anderen Ehepartner trennen (vgl. Akte A15 S. 21), nicht vereinbart werden. Zudem soll er für die Ausreise der Beschwerdeführerin und [des Kindes] eine Frau organisiert haben, die ihr bei der Ankunft in Istanbul behilflich sein werde (vgl. Akte A 13 S. 8). Selbst wenn er neu diese Drohung ausgesprochen haben sollte, ist auch dies kein Asylgrund im Sinne von Art. 3 AsylG.</w:t>
      </w:r>
    </w:p>
    <w:p>
      <w:r>
        <w:rPr>
          <w:b/>
        </w:rPr>
        <w:t>E. 6.2</w:t>
      </w:r>
    </w:p>
    <w:p>
      <w:r>
        <w:t>Das SEM hat die Flüchtlingseigenschaft der Beschwerdeführerinnen folglich zu Recht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Marokko herrscht keine Situation allgemeiner Gewalt, weshalb in konstanter Praxis von der generellen Zumutbarkeit des Wegweisungsvollzugs dorthin ausgegangen wird.</w:t>
      </w:r>
    </w:p>
    <w:p>
      <w:r>
        <w:rPr>
          <w:b/>
        </w:rPr>
        <w:t>E. 8.4.2</w:t>
      </w:r>
    </w:p>
    <w:p>
      <w:r>
        <w:t>Konkrete Anhaltspunkte dafür, dass die Beschwerdeführerinnen bei einer Rückkehr einer Gefährdungssituation ausgesetzt wären oder aus individuellen Gründen wirtschaftlicher, sozialer oder gesundheitlicher Natur in eine existenzbedrohende Situation geraten würden, liegen keine vor. Die Beschwerdeführerin verfügt eigenen Angaben zufolge über einen Mittelschulabschluss (Matura), zwei Jahre Berufsschule ([...]) sowie verschiedene Berufserfahrungen ([...], [...] und [...]). Überdies hält sich ihr Ehemann - er soll unmittelbar vor der Ausreise der Beschwerdeführerinnen einen Antrag um eine Aufenthaltsbewilligung gestellt haben - sowie Verwandte (Cousins) und Bekannte in Casablanca auf (vgl. Akten A13 S. 7, A15 S. 7 und 9), so dass anzunehmen ist, dass sie über ein soziales Beziehungsnetz sowie eine ausreichende Grundlage zur Existenzsicherung verfügen.</w:t>
      </w:r>
    </w:p>
    <w:p>
      <w:r>
        <w:rPr>
          <w:b/>
        </w:rPr>
        <w:t>E. 8.5</w:t>
      </w:r>
    </w:p>
    <w:p>
      <w:r>
        <w:t>Nach dem Gesagten erweist sich der Vollzug der Wegweisung auch als zumutbar.</w:t>
      </w:r>
    </w:p>
    <w:p>
      <w:r>
        <w:rPr>
          <w:b/>
        </w:rPr>
        <w:t>E. 8.6</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das Gesuch um unentgeltliche Prozessführung ungeachtet einer allfälligen prozessualen Bedürftigkeit abzuweisen ist (Art. 65 Abs. 1 VwVG und Art. 110a Abs. 1 Bst. a AsylG). Der Antrag auf Befreiung von der Kostenvorschusspflicht ist mit dem vorliegenden Direktentscheid gegenstandslos geworden.</w:t>
      </w:r>
    </w:p>
    <w:p>
      <w:r>
        <w:rPr>
          <w:b/>
        </w:rPr>
        <w:t>E. 10.2</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