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E-5279/2024 vom 23. Juli 2024</w:t>
      </w:r>
    </w:p>
    <w:p>
      <w:r>
        <w:t>Bundesverwaltungsgericht, 2024-07-23, FR</w:t>
      </w:r>
    </w:p>
    <w:p>
      <w:r>
        <w:rPr>
          <w:b/>
        </w:rPr>
        <w:t xml:space="preserve">Quelle: </w:t>
      </w:r>
      <w:r>
        <w:t>https://mcp.opencaselaw.ch/entscheid/bvger_E-5279_2024_d20240723</w:t>
      </w:r>
    </w:p>
    <w:p>
      <w:r>
        <w:t>FR: TAF E-5279/2024 du 23 juillet 2024</w:t>
      </w:r>
    </w:p>
    <w:p>
      <w:r>
        <w:t>IT: TAF E-5279/2024 del 23 luglio 2024</w:t>
      </w:r>
    </w:p>
    <w:p>
      <w:pPr>
        <w:pStyle w:val="Heading2"/>
      </w:pPr>
      <w:r>
        <w:t>Regeste</w:t>
      </w:r>
    </w:p>
    <w:p>
      <w:r>
        <w:t>Asile et renvoi | Asile et renvoi; décision du SEM du 23 juillet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L'intéressée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S'agissant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arrêt du Tribunal E-4394/2021 du 3 janvier 2025 consid. 3.4 et réf. cit.).</w:t>
      </w:r>
    </w:p>
    <w:p>
      <w:r>
        <w:rPr>
          <w:b/>
        </w:rPr>
        <w:t>E. 2.3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des risques de persécution allégués.</w:t>
      </w:r>
    </w:p>
    <w:p>
      <w:r>
        <w:rPr>
          <w:b/>
        </w:rPr>
        <w:t>E. 3.2</w:t>
      </w:r>
    </w:p>
    <w:p>
      <w:r>
        <w:t>En effet, elle expose que E._______ ne se serait pas opposé à son départ, bien qu'elle lui ait ouvertement annoncé son intention de le quitter (cf. procès-verbal [p-v] de l'audition du 29 avril 2024, questions 50 et 51) ; ainsi que l'a retenu le SEM, ce comportement n'apparaît pas compatible avec son attitude antérieur, marquée par la volonté d'exercer un contrôle de tous les faits et gestes de la recourante. Après l'arrivée en Suisse de celle-ci, il se serait limité à lui envoyer des messages téléphoniques menaçants, ce qui l'aurait poussée à prendre contact avec la police. Dans ce contexte, bien que n'excluant pas que l'intéressée ait pu faire l'objet de sévices, le Tribunal considère comme peu crédible que cette situation ne lui ait laissé d'autre choix que la fuite. Le récit de l'intéressée apparaît d'ailleurs peu clair, dans la mesure où elle n'a pu indiquer clairement ni les noms ni les adresses des personnes qui l'auraient hébergée à Istanbul et à H._______ (cf. p-v de l'audition du 29 avril 2024, questions 35 et 57 à 59). L'intéressée soutient également que plusieurs membres de sa famille, une fois informés de sa relation avec un homme étranger à leur clan, auraient manifesté l'intention de s'en prendre à elle. Toutefois, il ressort de son récit que cette hostilité ne se serait traduite que par des menaces reçues sur son téléphone portable (cf. p-v de l'audition du 29 avril 2024, questions 24, 26, 31, 72 et 74) ; il n'aurait cependant pas été difficile à ses proches de la retrouver durant les deux années qui ont suivi, alors qu'elle résidait toujours à Istanbul. Dans cette mesure, il n'est pas vraisemblable que ces menaces auraient été mises à exécution ou risquent de l'être à la date du présent arrêt.</w:t>
      </w:r>
    </w:p>
    <w:p>
      <w:r>
        <w:rPr>
          <w:b/>
        </w:rPr>
        <w:t>E. 3.3.1</w:t>
      </w:r>
    </w:p>
    <w:p>
      <w:r>
        <w:t>Par ailleurs, le Tribunal rappelle que les préjudices infligés par des tierces personnes ne revêtent un caractère déterminant pour la reconnaissance de la qualité de réfugié que si l'Etat n'accorde pas la protection nécessaire, comme il en a la capacité et l'obligation ; selon le principe de la subsidiarité de la protection internationale par rapport à la protection nationale, consacré à l'art. 1 de la Convention relative au statut des réfugiés du 28 juillet 1951 (Conv. réfugiés ; RS 0.142.30), il peut être exigé d'un requérant d'asile qu'il épuise, dans son propre pays, les possibilités de protection lorsque celle-ci existe, qu'elle s'avère efficace et qu'elle peut être requise (cf. ATAF 2013/5 consid. 5.4.3 ; 2011/51 consid. 6.1 avec réf. cit.).</w:t>
      </w:r>
    </w:p>
    <w:p>
      <w:r>
        <w:rPr>
          <w:b/>
        </w:rPr>
        <w:t>E. 3.3.2</w:t>
      </w:r>
    </w:p>
    <w:p>
      <w:r>
        <w:t>Le Tribunal s'est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 à 5.2.5 ; arrêt du Tribunal D-4762/2023 du 20 septembre 2023 consid. 5.2.2). Le rapport de l'OSAR du 22 juin 2021, cité par la recourante à l'appui de ses conclusions, ne saurait modifier la position du Tribunal, dans la mesure où il n'apporte aucun élément nouveau et important de nature à remettre cette jurisprudence en cause (cf. à ce sujet arrêt du Tribunal D-6179/2024 du 1er novembre 2024 p. 8). En l'espèce, quand bien même elle fait valoir que son compagnon la maltraitait, la recourante n'aurait pas essayé d'obtenir l'aide des autorités, pourtant plus facile d'accès dans une grande ville telle qu'Istanbul que dans les régions rurales du centre et de l'est du pays (cf. D-4762/2023 précité consid. 5.2.2 et 5.2.5). Dans cette mesure, l'arrêt de la CourEDH qu'elle a cité n'est pas pertinent : en effet ce dernier, déjà ancien, condamnait la Turquie pour violation des art. 2, 3 et 14 CEDH, les autorités compétentes n'ayant jamais accordé à la femme en cause l'assistance requise, bien qu'elle ait été plusieurs fois agressée et blessée par son conjoint. Dès lors, l'existence ou le danger d'une persécution à raison du genre (cf. acte de recours, p. 8) ne peut être retenue.</w:t>
      </w:r>
    </w:p>
    <w:p>
      <w:r>
        <w:rPr>
          <w:b/>
        </w:rPr>
        <w:t>E. 3.4</w:t>
      </w:r>
    </w:p>
    <w:p>
      <w:r>
        <w:t>Enfin, la recourante a déclaré avoir milité pour le HDP, sans qu'il soit clair si elle y avait adhéré ; en tout état de cause, son engagement aurait été de peu d'ampleur, se limitant à la participation aux festivités de Newroz, dispersées par la police et à la distribution d'aide aux démunis ; elle n'aurait cependant jamais été arrêtée (cf. p-v de l'audition du 1er mai 2023, questions 46 [p. 6] et 53 ; p-v de l'audition du 29 avril 2024, questions 77, 78, 84 et 91). Dans ce contexte, il n'est pas crédible qu'elle soit aujourd'hui recherchée ; elle n'en a d'ailleurs déposé aucune preuve, faisant valoir le caractère secret de la procédure (cf. idem, questions 79 et 118), allégation peu crédible et aucunement étayée.</w:t>
      </w:r>
    </w:p>
    <w:p>
      <w:r>
        <w:rPr>
          <w:b/>
        </w:rPr>
        <w:t>E. 3.5</w:t>
      </w:r>
    </w:p>
    <w:p>
      <w:r>
        <w:t>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w:t>
      </w:r>
    </w:p>
    <w:p>
      <w:r>
        <w:rPr>
          <w:b/>
        </w:rPr>
        <w:t>E. 3.6</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5.2.3</w:t>
      </w:r>
    </w:p>
    <w:p>
      <w:r>
        <w:t>En outre, pour les raisons déjà examinées, elle n'a pas établi la haute probabilité d'un risque de traitements contraires aux engagements internationaux souscrits par la Suisse. Le Tribunal admet dès lors que l'exécution de son renvoi sous forme de refoulement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w:t>
      </w:r>
    </w:p>
    <w:p>
      <w:r>
        <w:rPr>
          <w:b/>
        </w:rPr>
        <w:t>E. 5.3.3</w:t>
      </w:r>
    </w:p>
    <w:p>
      <w:r>
        <w:t>En outre, il ne ressort du dossier aucun élément dont on pourrait inférer que l'exécution du renvoi impliquerait une mise en danger concrète de la recourante. A cet égard, le Tribunal retient notamment qu'elle se trouve sans charge de famille, ses filles étant adultes, et a été de longue date professionnellement active ; elle dispose à Istanbul, où vivent ses filles et ses soeurs, d'un réseau familial (cf. p-v de l'audition du 1er mai 2023, questions 21 à 24 ; p-v de l'audition du 29 avril 2024, questions 12 à 14). Par ailleurs, ses troubles de santé, pour lesquels elle a déjà été prise en charge en Turquie, n'apparaissent pas d'une gravité telle qu'ils ne pourront pas être traités en Turquie (cf. ATAF 2014/26 consid. 7.3 à 7.10 ; 2011/50 consid. 8.3) ; l'intéressée a du reste admis se sentir très bien (« sehr gut » ; cf. p-v de l'audition du 29 avril 2024, question 4). Le recours n'apporte, à cet égard, aucun élément nouveau.</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Au vu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 page suivante)</w:t>
      </w:r>
    </w:p>
    <w:p>
      <w:r>
        <w:rPr>
          <w:b/>
        </w:rPr>
        <w:t>E. 22</w:t>
      </w:r>
    </w:p>
    <w:p>
      <w:r>
        <w:t>juin 2021, intitulé « Türkei : Gewalt gegen Frauen » (également disponible en français). J. Le 11 septembre 2024, la recourante a déposé une attestation d’assistance provenant de l’autorité cantonale compétente ; le 17 octobre suivant, elle a fait parvenir au Tribunal deux lettres de soutien émanant d’associations. K. Les autres faits et arguments de la cause seront examinés, pour autant que besoin, dans les considérants en droit.</w:t>
      </w:r>
    </w:p>
    <w:p>
      <w:r>
        <w:t>E-5279/2024 Page 6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L'intéressée a qualité pour recourir ; présenté dans la forme et le délai prescrits par la loi, le recours est recevable (art. 48 al. 1 ainsi que 52 al. 1 PA et […]).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2.2 S’agissant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la protection des autorités de leur Etat d'origine. Encore faut- 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La jurisprudence a admis qu’il</w:t>
      </w:r>
    </w:p>
    <w:p>
      <w:r>
        <w:t>E-5279/2024 Page 7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arrêt du Tribunal E-4394/2021 du 3 janvier 2025 consid. 3.4 et réf. cit.). 2.3 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2.4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E-5279/2024 Page 8 3. 3.1 En l'occurrence, l’intéressée n’a pas été en mesure de faire apparaître la crédibilité et le sérieux des risques de persécution allégués. 3.2 En effet, elle expose que E._______ ne se serait pas opposé à son départ, bien qu’elle lui ait ouvertement annoncé son intention de le quitter (cf. procès-verbal [p-v] de l’audition du 29 avril 2024, questions 50 et 51) ; ainsi que l’a retenu le SEM, ce comportement n’apparaît pas compatible avec son attitude antérieur, marquée par la volonté d’exercer un contrôle de tous les faits et gestes de la recourante. Après l’arrivée en Suisse de celle-ci, il se serait limité à lui envoyer des messages téléphoniques menaçants, ce qui l’aurait poussée à prendre contact avec la police. Dans ce contexte, bien que n’excluant pas que l’intéressée ait pu faire l’objet de sévices, le Tribunal considère comme peu crédible que cette situation ne lui ait laissé d’autre choix que la fuite. Le récit de l’intéressée apparaît d’ailleurs peu clair, dans la mesure où elle n’a pu indiquer clairement ni les noms ni les adresses des personnes qui l’auraient hébergée à Istanbul et à H._______ (cf. p-v de l’audition du 29 avril 2024, questions 35 et 57 à 59). L’intéressée soutient également que plusieurs membres de sa famille, une fois informés de sa relation avec un homme étranger à leur clan, auraient manifesté l’intention de s’en prendre à elle. Toutefois, il ressort de son récit que cette hostilité ne se serait traduite que par des menaces reçues sur son téléphone portable (cf. p-v de l’audition du 29 avril 2024, questions 24, 26, 31, 72 et 74) ; il n’aurait cependant pas été difficile à ses proches de la retrouver durant les deux années qui ont suivi, alors qu’elle résidait toujours à Istanbul. Dans cette mesure, il n’est pas vraisemblable que ces menaces auraient été mises à exécution ou risquent de l’être à la date du présent arrêt. 3.3 3.3.1 Par ailleurs, le Tribunal rappelle que les préjudices infligés par des tierces personnes ne revêtent un caractère déterminant pour la reconnaissance de la qualité de réfugié que si l’Etat n’accorde pas la protection nécessaire, comme il en a la capacité et l’obligation ; selon le principe de la subsidiarité de la protection internationale par rapport à la protection nationale, consacré à l'art. 1 de la Convention relative au statut des réfugiés du 28 juillet 1951 (Conv. réfugiés ; RS 0.142.30), il peut être</w:t>
      </w:r>
    </w:p>
    <w:p>
      <w:r>
        <w:t>E-5279/2024 Page 9 exigé d'un requérant d'asile qu'il épuise, dans son propre pays, les possibilités de protection lorsque celle-ci existe, qu’elle s’avère efficace et qu’elle peut être requise (cf. ATAF 2013/5 consid. 5.4.3 ; 2011/51 consid. 6.1 avec réf. cit.). 3.3.2 Le Tribunal s'est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 à 5.2.5 ; arrêt du Tribunal D-4762/2023 du 20 septembre 2023 consid. 5.2.2). Le rapport de l’OSAR du 22 juin 2021, cité par la recourante à l’appui de ses conclusions, ne saurait modifier la position du Tribunal, dans la mesure où il n’apporte aucun élément nouveau et important de nature à remettre cette jurisprudence en cause (cf. à ce sujet arrêt du Tribunal D-6179/2024 du 1er novembre 2024 p. 8). En l’espèce, quand bien même elle fait valoir que son compagnon la maltraitait, la recourante n’aurait pas essayé d’obtenir l’aide des autorités, pourtant plus facile d’accès dans une grande ville telle qu’Istanbul que dans les régions rurales du centre et de l’est du pays (cf. D-4762/2023 précité consid. 5.2.2 et 5.2.5). Dans cette mesure, l’arrêt de la CourEDH qu’elle a cité n’est pas pertinent : en effet ce dernier, déjà ancien, condamnait la Turquie pour violation des art. 2, 3 et 14 CEDH, les autorités compétentes n’ayant jamais accordé à la femme en cause l’assistance requise, bien qu’elle ait été plusieurs fois agressée et blessée par son conjoint. Dès lors, l’existence ou le danger d’une persécution à raison du genre (cf. acte de recours, p. 8) ne peut être retenue. 3.4 Enfin, la recourante a déclaré avoir milité pour le HDP, sans qu’il soit clair si elle y avait adhéré ; en tout état de cause, son engagement aurait été de peu d’ampleur, se limitant à la participation aux festivités de Newroz, dispersées par la police et à la distribution d’aide aux démunis ; elle n’aurait cependant jamais été arrêtée (cf. p-v de l’audition du 1er mai 2023, questions 46 [p. 6] et 53 ; p-v de l’audition du 29 avril 2024, questions 77, 78, 84 et 91). Dans ce contexte, il n’est pas crédible qu’elle soit aujourd’hui recherchée ; elle n’en a d’ailleurs déposé aucune preuve, faisant valoir le</w:t>
      </w:r>
    </w:p>
    <w:p>
      <w:r>
        <w:t>E-5279/2024 Page 10 caractère secret de la procédure (cf. idem, questions 79 et 118), allégation peu crédible et aucunement étayée. 3.5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3.6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w:t>
      </w:r>
    </w:p>
    <w:p>
      <w:r>
        <w:t>E-5279/2024 Page 11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la recourante n'a pas rendu vraisemblable qu'en cas de retour dans son pays d'origine, elle serait exposée à de sérieux préjudices au sens de l'art. 3 LAsi. 5.2.3 En outre, pour les raisons déjà examinées, elle n’a pas établi la haute probabilité d’un risque de traitements contraires aux engagements internationaux souscrits par la Suisse. Le Tribunal admet dès lors que l'exécution de son renvoi sous forme de refoulement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5.3.3 En outre, il ne ressort du dossier aucun élément dont on pourrait inférer que l'exécution du renvoi impliquerait une mise en danger concrète de la recourante. A cet égard, le Tribunal retient notamment qu’elle se trouve sans charge de famille, ses filles étant adultes, et a été de longue date professionnellement active ; elle dispose à Istanbul, où vivent ses</w:t>
      </w:r>
    </w:p>
    <w:p>
      <w:r>
        <w:t>E-5279/2024 Page 12 filles et ses sœurs, d’un réseau familial (cf. p-v de l’audition du 1er mai 2023, questions 21 à 24 ; p-v de l’audition du 29 avril 2024, questions 12 à 14). Par ailleurs, ses troubles de santé, pour lesquels elle a déjà été prise en charge en Turquie, n’apparaissent pas d’une gravité telle qu’ils ne pourront pas être traités en Turquie (cf. ATAF 2014/26 consid. 7.3 à 7.10 ; 2011/50 consid. 8.3) ; l’intéressée a du reste admis se sentir très bien (« sehr gut » ; cf. p-v de l’audition du 29 avril 2024, question 4). Le recours n’apporte, à cet égard, aucun élément nouveau.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 il est dès lors renoncé à un échange d'écritures, le présent arrêt n'étant motivé que sommairement (art. 111a al. 1 et 2 LAsi). 8. Au vu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 page suivante)</w:t>
      </w:r>
    </w:p>
    <w:p>
      <w:r>
        <w:t>E-5279/2024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