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E-5279/2012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https://mcp.opencaselaw.ch/entscheid/bvger_E-5279_2012</w:t>
      </w:r>
    </w:p>
    <w:p>
      <w:r>
        <w:t>FR: TAF E-5279/2012 du 14 novembre 2012</w:t>
      </w:r>
    </w:p>
    <w:p>
      <w:r>
        <w:t>IT: TAF E-5279/2012 del 14 novembre 2012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6. September 2012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der Beschwerdeführerin eine Parteientschädigung von Fr. 600.- auszurichten.</w:t>
      </w:r>
    </w:p>
    <w:p>
      <w:r>
        <w:rPr>
          <w:b/>
        </w:rPr>
        <w:t>E. 5</w:t>
      </w:r>
    </w:p>
    <w:p>
      <w:r>
        <w:t>Dieses Urteil geht an die Beschwerdeführerin, das BFM und das Migrationsamt des Kantons B._______ Der vorsitzende 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