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E-5277/2012 vom 18. Oktober 2012</w:t>
      </w:r>
    </w:p>
    <w:p>
      <w:r>
        <w:t>Bundesverwaltungsgericht, 2012-10-18, DE</w:t>
      </w:r>
    </w:p>
    <w:p>
      <w:r>
        <w:rPr>
          <w:b/>
        </w:rPr>
        <w:t xml:space="preserve">Quelle: </w:t>
      </w:r>
      <w:r>
        <w:t>https://mcp.opencaselaw.ch/entscheid/bvger_E-5277_2012</w:t>
      </w:r>
    </w:p>
    <w:p>
      <w:r>
        <w:t>FR: TAF E-5277/2012 du 18 octobre 2012</w:t>
      </w:r>
    </w:p>
    <w:p>
      <w:r>
        <w:t>IT: TAF E-5277/2012 del 18 ottobre 2012</w:t>
      </w:r>
    </w:p>
    <w:p>
      <w:pPr>
        <w:pStyle w:val="Heading2"/>
      </w:pPr>
      <w:r>
        <w:t>Regeste</w:t>
      </w:r>
    </w:p>
    <w:p>
      <w:r>
        <w:t>Nichteintreten auf Asylgesuch (Safe Country)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Bei Beschwerden gegen Nichteintretensentscheide, mit denen es das BFM ablehnt, das Asylgesuch auf seine Begründetheit hin zu überprüfen (Art. 32-35 AsylG), ist die Beurteilungskompetenz der Beschwerdeinstanz grundsätzlich auf die Frage beschränkt ist, ob die Vorinstanz zu Recht auf das Asylgesuch nicht eingetreten ist. Bei Unrechtmässigkeit des Nichteintretensentscheides enthält sich die Beschwerdeinstanz einer selbständigen materiellen Prüfung, hebt die angefochtene Verfügung auf und weist die Sache zu neuer Entscheidung an die Vorinstanz zurück (vgl. Urteil des Bundesverwaltungsgerichts D-250/2012 vom 27. Januar 2012, mit Verweisen). Nicht beschränkt ist die Beurteilungszuständigkeit des Bundesverwaltungsgerichts dagegen hinsichtlich der Frage der Wegweisung und deren Vollzugs, da das BFM diesbezüglich eine materielle Prüfung und Entscheidung vorzunehmen hat (vgl. Art. 44 AsylG i.V.m. Art. 83 Abs. 1 - 4 AuG).</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2.4</w:t>
      </w:r>
    </w:p>
    <w:p>
      <w:r>
        <w:t>Das vorliegende Verfahren wird mit dem Beschwerdeverfahren der Eltern und Geschwister des Beschwerdeführers (E-5284/2012) insoweit koordiniert, als die beiden Urteile zeitgleich ergehen.</w:t>
      </w:r>
    </w:p>
    <w:p>
      <w:r>
        <w:rPr>
          <w:b/>
        </w:rPr>
        <w:t>E. 3.1</w:t>
      </w:r>
    </w:p>
    <w:p>
      <w:r>
        <w:t>Auf Gesuche von Asylsuchenden aus verfolgungssicheren Staaten nach Art. 6a Abs. 2 Bst. a AsylG wird nicht eingetreten, ausser es gebe Hinweise auf Verfolgung (Art. 34 Abs. 1 AsylG).</w:t>
      </w:r>
    </w:p>
    <w:p>
      <w:r>
        <w:rPr>
          <w:b/>
        </w:rPr>
        <w:t>E. 3.2</w:t>
      </w:r>
    </w:p>
    <w:p>
      <w:r>
        <w:t>Gemäss Art. 6a Abs. 2 Bst. a AsylG bezeichnet der Bundesrat Staaten, in denen nach seinen Feststellungen Sicherheit vor Verfolgung besteht, als sichere Heimat- oder Herkunftsstaaten (sogenannte "safe country").</w:t>
      </w:r>
    </w:p>
    <w:p>
      <w:r>
        <w:rPr>
          <w:b/>
        </w:rPr>
        <w:t>E. 3.3</w:t>
      </w:r>
    </w:p>
    <w:p>
      <w:r>
        <w:t>Mit Beschluss vom 6. März 2009 (in Kraft seit dem 1. April 2009) hat der Bundesrat Serbien zum "safe country" erklärt.</w:t>
      </w:r>
    </w:p>
    <w:p>
      <w:r>
        <w:rPr>
          <w:b/>
        </w:rPr>
        <w:t>E. 4.1</w:t>
      </w:r>
    </w:p>
    <w:p>
      <w:r>
        <w:t>Die Vorinstanz gelangt in der angefochtenen Verfügung zum Schluss, es gebe keine Hinweise, welche die widerlegbare Vermutung von Art. 6a Abs. 2 Bst. a AsylG umzustossen vermögen. Zur Begründung führt sie aus, aus dem Umstand, dass die Eltern in der Schweiz bereits zwei Asylverfahren erfolglos durchlaufen hätten, würden sich a priori gewisse Zweifel an der Glaubhaftigkeit des dritten Gesuchs ergeben. Sodann habe sich der Beschwerdeführer anlässlich der Befragungen bezüglich des Zeitpunktes des Arztbesuches sowie zu den Personen, welche seinen Vater aufgesucht hätten, unvereinbar geäussert. Konfrontiert mit diesen Widersprüchen, habe er diese nicht auflösen können. Weiter seien die Asylgesuche der Eltern des Beschwerdeführers vom BFM ebenfalls als haltlos qualifiziert worden.</w:t>
      </w:r>
    </w:p>
    <w:p>
      <w:r>
        <w:rPr>
          <w:b/>
        </w:rPr>
        <w:t>E. 4.2</w:t>
      </w:r>
    </w:p>
    <w:p>
      <w:r>
        <w:t>Der Schluss der Vorinstanz, es würden keine Hinweise auf Verfolgung im Sinne von Art. 34 Abs. 1 AsylG vorliegen, verletzt Bundesrecht nicht. Die vorinstanzliche Beweiswürdigung ist ebenfalls nicht zu beanstanden. Was der Beschwerdeführer dagegen vorbringt, ist nicht geeignet, seine Aussagen in einem anderen Licht erscheinen zu lassen. Mit dem nicht näher substantiierten Hinweis auf die Lage der Roma in Serbien zeigt der Beschwerdeführer nicht auf, inwiefern die Vorinstanz zu Unrecht geschlossen habe, es würden keine Hinweise auf Verfolgung vorliegen. Solches ist auch nicht ersichtlich. Um Wiederholungen zu vermeiden, kann vollumfänglich auf die zutreffenden Erwägungen in der angefochtenen Verfügung verwiesen werden. Die Vorinstanz ist demnach zu Recht gestützt auf Art. 34 Abs. 1 AsylG auf das Asylgesuch des Beschwerdeführers nicht eingetreten.</w:t>
      </w:r>
    </w:p>
    <w:p>
      <w:r>
        <w:rPr>
          <w:b/>
        </w:rPr>
        <w:t>E. 5</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beurteilt sich die Zulässigkeit des Vollzuges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des Beschwerdeführers noch aus den Akten ergeben sich Anhaltspunkte dafür, dass er für den Fall einer Ausschaffung nach Serbien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In der Rechtsmitteleingabe bringt der Beschwerdeführer nichts vor, was den Vollzug der Wegweisung als unzumutbar erscheinen liesse. Um Wiederholungen zu vermeiden, kann vollumfänglich auf die zutreffenden Erwägungen in der angefochtenen Verfügung verwiesen werden. Der Vollzug der Wegweisung ist zumutbar.</w:t>
      </w:r>
    </w:p>
    <w:p>
      <w:r>
        <w:rPr>
          <w:b/>
        </w:rPr>
        <w:t>E. 6.4</w:t>
      </w:r>
    </w:p>
    <w:p>
      <w:r>
        <w:t>Es obliegt dem Beschwerdeführer, sich bei der zuständigen Vertretung Serbiens die für eine Rückkehr notwendigen Reisedokumente zu beschaffen (Art. 8 Abs. 4 AsylG; BVGE 2008/34 E. 12), weshalb der Vollzug der Wegweisung im Sinne von Art. 83 Abs. 2 AuG möglich ist.</w:t>
      </w:r>
    </w:p>
    <w:p>
      <w:r>
        <w:rPr>
          <w:b/>
        </w:rPr>
        <w:t>E. 6.5</w:t>
      </w:r>
    </w:p>
    <w:p>
      <w:r>
        <w:t>Zusammenfassend hat die Vorinstanz den Vollzug der Wegweisung zutreffend als zulässig, zumutbar und möglich bezeichnet, weshalb eine vorläufige Aufnahme des Beschwerdeführers ausser Betracht fällt.</w:t>
      </w:r>
    </w:p>
    <w:p>
      <w:r>
        <w:rPr>
          <w:b/>
        </w:rPr>
        <w:t>E. 7</w:t>
      </w:r>
    </w:p>
    <w:p>
      <w:r>
        <w:t>Nach dem Gesagten ergibt sich, dass die angefochtene Verfügung weder Bundesrecht verletzt noch sonst wie zu beanstanden ist (Art. 106 Abs. 1 AsylG).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