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E-5275/2010 vom 22. März 2012</w:t>
      </w:r>
    </w:p>
    <w:p>
      <w:r>
        <w:t>Bundesverwaltungsgericht, 2012-03-22, FR</w:t>
      </w:r>
    </w:p>
    <w:p>
      <w:r>
        <w:rPr>
          <w:b/>
        </w:rPr>
        <w:t xml:space="preserve">Quelle: </w:t>
      </w:r>
      <w:r>
        <w:t>https://mcp.opencaselaw.ch/entscheid/bvger_E-5275_2010</w:t>
      </w:r>
    </w:p>
    <w:p>
      <w:r>
        <w:t>FR: TAF E-5275/2010 du 22 mars 2012</w:t>
      </w:r>
    </w:p>
    <w:p>
      <w:r>
        <w:t>IT: TAF E-5275/2010 del 22 marzo 2012</w:t>
      </w:r>
    </w:p>
    <w:p>
      <w:pPr>
        <w:pStyle w:val="Heading2"/>
      </w:pPr>
      <w:r>
        <w:t>Regeste</w:t>
      </w:r>
    </w:p>
    <w:p>
      <w:r>
        <w:t>Asile et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ATF 127 I 133 consid. 6 p. 137, ATF 109 Ib 246ss ; Karin Scherrer, in : Praxiskommentar VwVG, Bernhard Waldmann/Philippe Weissenberger (éd.), Zurich/Bâle/Genève 2009, art. 66 PA n°s 16 ss p. 1303 s ; Alfred Kölz/Isabelle Häner, Verwaltungsverfahren und Verwaltungsrechtspflege des Bundes, 2e éd., Zurich 1998, p. 156 ss, spéc. p. 160 ; Ursina Beerli-Bonorand, Die ausserordentlichen Rechtsmittel in der Verwaltungsrechtspflege des Bundes und der Kantone, Zurich 1985, p. 171ss, spéc. p. 179 et 185s., et réf. cit. ; André Grisel, Traité de droit administratif, Neuchâtel 1984, vol. II. p. 947ss. ).</w:t>
      </w:r>
    </w:p>
    <w:p>
      <w:r>
        <w:rPr>
          <w:b/>
        </w:rPr>
        <w:t>E. 2.2</w:t>
      </w:r>
    </w:p>
    <w:p>
      <w:r>
        <w:t>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En application de l'art. 67 al. 1 PA, concernant la révision, mais applicable par analogie à la reconsidération qualifiée au sens défini ci dessus, la demande doit être adressée par écrit à l'autorité dans les 90 jours qui suivent la découverte du motif de révision, mais au plus tard dix ans après la notification de la décision.</w:t>
      </w:r>
    </w:p>
    <w:p>
      <w:r>
        <w:rPr>
          <w:b/>
        </w:rPr>
        <w:t>E. 2.4</w:t>
      </w:r>
    </w:p>
    <w:p>
      <w:r>
        <w:t>Conformément à l'art. 66 al. 3 PA, également applicable par analogie, les motifs de révision portant en particulier sur l'allégation de faits nouveaux importants ou la production de nouveaux moyens de preuve n'ouvrent pas la révision s'ils pouvaient être invoqués dans la procédure précédant la décision sur recours ou par la voie du recours contre cette décision. 3.1. En l'occurrence, la demande déposée le 5 mai 2010 auprès de l'ODM constituait, à l'évidence, une demande de reconsidération qualifiée au sens défini ci-dessus. En effet, la décision de l'ODM, du 29 septembre 2009, n'avait pas fait l'objet d'un recours et l'intéressé faisait valoir la découverte de moyens de preuve antérieurs à cette décision, de nature à établir la véracité de ses déclarations relatives aux événements qu'il dit avoir vécus. 3.2. L'ODM a rejeté la demande au motif que le recourant n'avait pas apporté la preuve que celle-ci avait été déposée dans le délai de 90 jours de l'art. 67 al. 1 PA, appliqué par analogie. Il a, en substance, estimé que, vu leur date d'établissement, les moyens de preuve produits devaient être connus du recourant depuis de nombreuses années et a, par ailleurs, retenu qu'aucune des deux adresses figurant sur l'enveloppe DSL déposée ne correspondait à celle de l'intéressé. En outre, dite enveloppe ne comportait, en dehors d'un autocollant DHL, aucune mention ou indication permettant de déterminer quand et comment ce courrier lui avait été acheminé, ni prouvant que l'enveloppe avait réellement contenu les moyens de preuve produits. 3.3. Comme le délai de l'art. 124 al. 1 let. d LTF, concernant la révision d'arrêts du Tribunal (cf. art. 45 LTAF), le délai prescrit à l'art. 67 al. 1 PA pour agir dès la découverte du motif est une condition de recevabilité de la demande de reconsidération qualifiée, qu'il y a lieu de distinguer de la question de savoir si le demandeur aurait pu et dû invoquer le fait nouveau ou produire le moyen de preuve nouveau dans le cadre d'un recours contre la décision incriminée (cf. art. 66 al. 3 PA), question qui relève du fond. La découverte du motif de révision ou de reconsidération qualifiée implique que le demandeur a une connaissance suffisamment sûre du fait nouveau pour pouvoir l'invoquer, même s'il n'est pas en mesure d'apporter une preuve certaine ; à cet égard, une simple supposition ne suffit pas. S'agissant d'une preuve nouvelle, le requérant doit pouvoir disposer d'un titre l'établissant ou en avoir une connaissance suffisante pour en requérir l'administration. Il appartient au demandeur d'établir les circonstances déterminantes pour la vérification du respect du délai précité (cf. arrêt du Tribunal fédéral 4A_222/2011 du 22 août 2011, consid. 2.1; voir aussi Karin Scherrer, in : Waldmann / Weissenberger [éd.], op. cit., art. 67 PA, n°4 s. p. 1315 ; August Mächler, in : Kommentar zum Bundesgesetz über das Verwaltungs-verfahren, (VwVG), Christoph Auer/Markus Müller/Benjamin Schindler [éd.], Zurich/St Gall 2008, art. 67, p. 870 s.; Pierre Ferrari, in : Commentaire de la LTF [Loi sur le Tribunal fédéral], Berne 2009, art. 124, p. 1213). Pour établir que la demande est déposée en temps utile, le demandeur doit indiquer les circonstances et la date de la découverte du fait ou moyen de preuve nouveau (Jean-François Poudret, Commentaire de la loi fédérale d'organisation judiciaire, vol. V, Berne 1992, art. 140 p. 55). 3.4. En l'espèce, la décision entreprise présente une certaine imprécision entre le reproche que fait l'ODM à l'intéressé quant à l'absence d'indications, dans la demande de reconsidération qualifiée, sur les circonstances et la date de la découverte des moyens de preuve produits et les conclusions que l'ODM tire de la date d'établissement des documents, quant au non-respect du délai pour agir de 90 jours dès cette découverte. En outre, l'ODM en conclut que la demande doit être rejetée, alors même que les moyens fournis n'ont pas été examinés au fond. Or, dans la mesure où il applique par analogie le délai de 90 jours de l'art. 67 al. 1 PA, l'ODM aurait dû déclarer la demande irrecevable, et non la rejeter. Cette confusion n'est cependant pas, en elle-même préjudiciable au recourant, lequel a pu recourir contre la décision matérielle de l'ODM, comme il aurait pu recourir contre la décision d'irrecevabilité que cette autorité aurait dû prendre. 3.5. Il reste à vérifier si les arguments de l'ODM sont fondés. 3.5.1. Il sied de relever tout d'abord que les dates d'établissement des documents produits, en particulier de la carte d'identité professionnelle, du certificat concernant le décès de l'épouse du recourant, ainsi que de l'attestation relative aux circonstances de la cessation de son activité professionnelle, signé par le commandant de la police, démontrent que ces pièces existaient bel et bien avant le départ du recourant de son pays. Bien plus, il semble plausible que tous ces documents aient été destinés au recourant lui-même. Il en va ainsi de sa carte d'identité professionnelle établie pour lui être remise en guise de document officiel de légitimation dans le cadre de l'accomplissement de ses fonctions. Quant à l'attestation concernant la fin de son activité, expliquant le motif de sa démission, elle est censée avoir été délivrée le dernier jour de travail du recourant et on ne voit pas, à défaut d'autre précision du recourant, à quelle personne autre que celui-ci elle aurait pu être destinée. Il en va de même de l'attestation relative au décès de son épouse. 3.5.2. Dans ces conditions, et en l'absence d'explications du recourant sur les raisons pour lesquelles il n'a pas emporté avec lui ces pièces à son départ du pays, ainsi que sur les démarches qu'il a accomplies pour se les procurer dès son arrivée en Suisse ou dès la prise de connaissance de la décision de refus de l'asile du 29 septembre 2009, la recevabilité de la demande n'était à l'évidence pas établie. 3.5.2.1 En effet, le recourant n'a non seulement pas explicité dans sa demande de reconsidération du 5 mai 2010 les circonstances dans lesquelles il était parvenu en possession des moyens de preuve produits, mais encore n'a pas saisi l'occasion que lui a donnée l'ODM, par sa décision incidente du 19 mai 2010, d'apporter les explications requises et de les étayer, le cas échéant, par des moyens de preuve adéquats. A cet égard, le Tribunal relève que l'enveloppe postale produite ne comporte aucune mention d'expéditeur et de date, ni aucune étiquette explicative alors que celle-ci est habituellement glissée dans une fenêtre de plastic transparent collée sur tout envoi DHL. N'y figurent que deux adresses manuscrites. Aussi, cette enveloppe pourrait tout aussi bien être une enveloppe ayant contenu un courrier adressé à une autre personne ou adressée il y a longtemps au recourant. Cette enveloppe ne permet pas ainsi d'établir ni à quelle date ni par l'intermédiaire de quelle personne les moyens de preuve produits seraient parvenus au recourant. 3.5.2.2 A défaut de précisions fournies par le recourant sur les circonstances dans lesquelles celui-ci s'était procuré les moyens de preuve fournis à l'appui de sa demande de reconsidération (le recourant s'étant borné à répéter qu'il les avait récupérés "récemment"), l'ODM ne pouvait procéder à la vérification du délai de 90 jours. Tout au plus aurait-il pu prendre, comme point de départ du délai (dies a quo) de 90 jours, la date de la notification de la décision de refus de l'asile dont le réexamen était sollicité, à savoir le 1er octobre 2009. N'ayant pas été déposée dans ce délai, la demande était irrecevable. 3.5.3. Vu ce qui précède, c'est à bon droit que l'ODM n'a pas examiné la valeur qu'il convenait d'accorder aux moyens de preuve produits. Qu'il se soit mépris sur la conclusion juridique qu'il devait tirer (irrecevabilité et non : rejet de la demande) est sans importance, le délai légal de l'art. 67 al. 1 PA étant impératif. Dans ces conditions, il n'y a pas lieu de vérifier encore si, conformément à l'art. 66 al. 3 PA, appliqué par analogie, le recourant aurait pu et dû, en usant de la diligence nécessaire, produire ces moyens de preuve en procédure ordinaire, directement devant l'ODM ou, tout au moins, à l'appui d'un recours contre le refus de l'asile. 3.6. Au vu de ce qui précède, la décision attaquée doit être confirmée et le recours rejeté.</w:t>
      </w:r>
    </w:p>
    <w:p>
      <w:r>
        <w:rPr>
          <w:b/>
        </w:rPr>
        <w:t>E. 4</w:t>
      </w:r>
    </w:p>
    <w:p>
      <w:r>
        <w:t>S'avérant manifestement infondé, le recours peut être rejeté dans une procédure à juge unique, avec l'approbation d'un second juge (cf. art. 111 let. e LAsi). 5.1. Les conclusions du recourant apparaissant comme d'emblée vouées à l'échec, la demande d'assistance judiciaire doit être rejetée, les conditions cumulatives de l'art. 65 al. 1 PA n'étant pas remplies. 5.2. Vu l'issue de la cause, il y a lieu de mettre les frais de procédure à la charge des recourants,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