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E-5274/2016 vom 5. Januar 2017</w:t>
      </w:r>
    </w:p>
    <w:p>
      <w:r>
        <w:t>Bundesverwaltungsgericht, 2017-01-05, DE</w:t>
      </w:r>
    </w:p>
    <w:p>
      <w:r>
        <w:rPr>
          <w:b/>
        </w:rPr>
        <w:t xml:space="preserve">Quelle: </w:t>
      </w:r>
      <w:r>
        <w:t>https://mcp.opencaselaw.ch/entscheid/bvger_E-5274_2016</w:t>
      </w:r>
    </w:p>
    <w:p>
      <w:r>
        <w:t>FR: TAF E-5274/2016 du 5 janvier 2017</w:t>
      </w:r>
    </w:p>
    <w:p>
      <w:r>
        <w:t>IT: TAF E-5274/2016 del 5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Bundesverwaltungsgericht verzichtet auf die Durchführung eines Schriftenwechsels (Art. 111a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Die Vorinstanz hat anhand der Schilderungen der Beschwerdeführenden - die sich auch auf Beschwerdeebene auf die allgemeine Lage beschränken - die fehlende Asylrelevanz nicht verkannt und auf den vorliegenden Fall korrekt angewendet. Ihre Schlussfolgerungen sind weder in tatsächlicher noch in rechtlicher Hinsicht zu beanstanden. In der angefochtenen Verfügung wird ausreichend begründet, weshalb die Vorbringen nicht von Asylrelevanz sind. Die Beschwerde stellt dem auch nichts entgegen, sondern verweist lediglich auf Bilder und Einträge sowie Geschehnisse anderer Menschen im Irak, womit aufgezeigt werden soll, dass die Lage vor Ort von Terror und Gewalt geprägt sei und die Kinder dort keine Zukunft hätten. Die Beschwerde zeigt indes nicht auf, inwiefern die vorinstanzliche Beweiswürdigung Bundesrecht verletzen oder zu einer rechtsfehlerhaften Sachverhaltsfeststellung führen soll. Solches ist auch nicht ersichtlich. Um Wiederholungen zu vermeiden, ist auf die zutreffenden Ausführungen der Vorinstanz zu verweisen, die zu Recht die Asylgesuche abgelehnt hat.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Beschwerdeführenden für den Fall einer Ausschaffung in den Irak dort mit beachtlicher Wahrscheinlichkeit einer nach Art. 3 EMRK oder Art. 1 FoK verbotenen Strafe oder Behandlung ausgesetzt wären. Der Vollzug ist demnach zulässig.</w:t>
      </w:r>
    </w:p>
    <w:p>
      <w:r>
        <w:rPr>
          <w:b/>
        </w:rPr>
        <w:t>E. 6.3</w:t>
      </w:r>
    </w:p>
    <w:p>
      <w:r>
        <w:t>Der Vollzug der Wegweisung kann nach Art. 83 Abs. 4 AuG unzumutbar sein, wenn die Ausländerin oder der Ausländer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Der Wegweisungsvollzug sei deshalb nach wie vor grundsätzlich zumutbar. Im Urteil E-3737/2015 vom 14. Dezember 2015 (als Referenzurteil publiziert) führt das Bundesverwaltungsgericht aus, dass in den vier Provinzen der Autonomen Kurdischen Region (das KRG-Gebiet wird seit Anfang 2015 durch die Provinzen Dohuk, Erbil, Suleimaniya sowie der von Letzterer abgespalteten Provinz Halabja gebildet) heute nach wie vor nicht von einer Situation allgemeiner Gewalt im Sinne von Art. 83 Abs. 4 AuG auszugehen ist und keine konkreten Anhaltspunkte für die Annahme vorliegen, dies werde sich in absehbarer Zeit massgeblich verändern (ursprünglich BVGE 2008/5). Dies bestätigt auch die jüngste Rechtsprechung (vgl. Urteile des BVGer E-6267/2016 vom 2. November 2016, D-3405/2016 vom 14. September 2016, E-3354/2016 vom 23. Juni 2016 und D-6975/2015 vom 16. Juni 2016). Gemäss Praxis des Bundesverwaltungsgerichts ist ein Wegweisungsvollzug in die kurdischen Nordprovinzen unter der Voraussetzung zumutbar, dass die betreffende Person ursprünglich aus der Region stammt oder eine längere Zeit dort gelebt hat und über ein soziales Netz verfügt. Für alleinstehende Frauen und Familien mit Kindern sowie für Kranke und Betagte ist die Zumutbarkeit eines Wegweisungsvollzugs in diese Nordprovinzen nur mit grosser Zurückhaltung zu bejahen. Die Rückreise für Familien mit Kindern wird als problematisch angesehen, da oft weder ein ausreichendes Einkommen noch adäquater Wohnraum in Aussicht stehen (BVGE 2008/5 E. 7.5.8). Die Beschwerdeführenden verfügen sowohl über ausreichendes Einkommen als auch über adäquaten Wohnraum. Ferner lebten die Beschwerdeführenden längere Zeit in der kurdischen Nordprovinz und verfügen dort über ein überdurchschnittliches soziales Netz. So lebten die Beschwerdeführenden von 2006 bis zur Ausreise im Jahr 2015 in G._______ (I._______, SEM-Akten, B3, S. 4, B18, S. 7 und B3, S. 4), einem von Dohuk eine Autostunde entfernten Dorf (SEM-Akten, B19, S. 2, F8), wo die Familie der Beschwerdeführerin 2 mehrere Häuser besitzt, die Beschwerdeführenden alleine in einem Haus lebten (SEM-Akten, B19, S. 4, F24 ff.) und wo sie über ein intaktes sowie wirtschaftlich gut gestelltes familiäres Beziehungsnetz verfügen (z. B. SEM-Akten, B19, S. 3, insb. F18 f. oder B18, S. 8, insb. F67). Der Beschwerdeführer 1 arbeitete zunächst mehrere Jahre im Lebensmittelgeschäft eines Onkels und war nach seiner Rückkehr aus der Schweiz bei der Fabrik seines Schwiegervaters angestellt, zu der er zurückkehren kann (SEM-Akten, A1, S. 2 und B18, S. 7, F58). Hinzu kommt, dass der Beschwerdeführer im Jahr 2004 - damals noch minderjährig - freiwillig aus der Schweiz zurück in den Irak reiste, wo er bis 2015 lebte und seine bestehende Familie gründen konnte. Die Tatsache alleine, dass es für die Kinder im Irak keine mit dem schweizerischen Schulsystem vergleichbaren Schulen gibt, vermag an der Zumutbarkeit des Wegweisungsvollzugs nichts zu ändern (beispielsweise Beschwerde, S. 2 f.). Dasselbe gilt für das auf Beschwerdeebene eingereichte Schreiben der Primar- und Realschule H._______, welches auf den "guten Weg der Integration" verweist, zumal die Kinder (Beschwerdeführende 3-5) erst seit 16. August 2016 diese Schule besuchen. Schliesslich handelt es sich um eine gesunde Familie (SEM-Akten, B4, S. 7 f. und B3, S. 9). Allfällige gesundheitliche Probleme sind keine aktenkundig. Der Vollzug der Wegweisung ist zumutbar.</w:t>
      </w:r>
    </w:p>
    <w:p>
      <w:r>
        <w:rPr>
          <w:b/>
        </w:rPr>
        <w:t>E. 6.4</w:t>
      </w:r>
    </w:p>
    <w:p>
      <w:r>
        <w:t>Der Vollzug der Wegweisung ist schliesslich nach Art. 83 Abs. 2 AuG als möglich zu bezeichnen, weil es den Beschwerdeführenden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w:t>
      </w:r>
    </w:p>
    <w:p>
      <w:r>
        <w:t>Gemäss Art. 65 Abs. 1 VwVG wird eine Partei, die nicht über die erforderlichen Mittel verfügt, auf Antrag hin von der Bezahlung der Verfahrenskosten befreit, wenn ihr Begehren im Zeitpunkt der Gesuchseinreichung nicht aussichtslos erscheint. Da die gesetzlichen Voraussetzungen gegeben sind, ist das Gesuch um unentgeltliche Prozessführung im Sinne von Art. 65 Abs. 1 VwVG gutzuheissen und es sind keine Verfahrenskosten zu erheben.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