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E-5273/2015 vom 19. Oktober 2015</w:t>
      </w:r>
    </w:p>
    <w:p>
      <w:r>
        <w:t>Bundesverwaltungsgericht, 2015-10-19, DE</w:t>
      </w:r>
    </w:p>
    <w:p>
      <w:r>
        <w:rPr>
          <w:b/>
        </w:rPr>
        <w:t xml:space="preserve">Quelle: </w:t>
      </w:r>
      <w:r>
        <w:t>https://mcp.opencaselaw.ch/entscheid/bvger_E-5273_2015</w:t>
      </w:r>
    </w:p>
    <w:p>
      <w:r>
        <w:t>FR: TAF E-5273/2015 du 19 octobre 2015</w:t>
      </w:r>
    </w:p>
    <w:p>
      <w:r>
        <w:t>IT: TAF E-5273/2015 del 19 ottobre 2015</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(Art. 112 Abs. 3 AsylG i.V.m. Art. 38 TestV und Art. 52 Abs. 1 VwVG) ist einzutreten.</w:t>
      </w:r>
    </w:p>
    <w:p>
      <w:r>
        <w:rPr>
          <w:b/>
        </w:rPr>
        <w:t>E. 2.1</w:t>
      </w:r>
    </w:p>
    <w:p>
      <w:r>
        <w:t>Mit Beschwerde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vorliegende Beschwerde richtet sich ausschliesslich gegen den Vollzug der Wegweisung. Die Ziffern 1 (Verneinung der Flüchtlingseigenschaft), 2 (Ablehnung des Asylgesuchs) und 3 (verfügte Wegweisung) des Dispositivs der angefochtenen Verfügung sind mangels Anfechtung in Rechtskraft erwachsen.</w:t>
      </w:r>
    </w:p>
    <w:p>
      <w:r>
        <w:rPr>
          <w:b/>
        </w:rPr>
        <w:t>E. 2.3</w:t>
      </w:r>
    </w:p>
    <w:p>
      <w:r>
        <w:t>Das Bundesverwaltungsgericht verzichtet vorliegend auf die Durchführung eines Schriftenwechsels (Art. 111a Abs. 1 AsylG).</w:t>
      </w:r>
    </w:p>
    <w:p>
      <w:r>
        <w:rPr>
          <w:b/>
        </w:rPr>
        <w:t>E. 3.1</w:t>
      </w:r>
    </w:p>
    <w:p>
      <w:r>
        <w:t>Der Beschwerdeführer rügt eine Verletzung des rechtlichen Gehörs und beantragt die Aushändigung des Aktenverzeichnisses, die Einsichtnahme in Herkunftsländerinformationen sowie das Einräumen einer angemessenen Frist zur Beschwerdeergänzung. Für ihn bleibe unklar, ob die Informationen der Vorinstanz eine rechtsgenügliche Entscheidgrundlage bilden würden. Die Offenlegung dieser Informationen stelle im vorliegenden Fall ein zentrales Element dar, auf das es bei der Prüfung der Wegweisungshindernisse ankomme.</w:t>
      </w:r>
    </w:p>
    <w:p>
      <w:r>
        <w:rPr>
          <w:b/>
        </w:rPr>
        <w:t>E. 3.2</w:t>
      </w:r>
    </w:p>
    <w:p>
      <w:r>
        <w:t>Der Anspruch auf rechtliches Gehör enthält eine Begründungspflicht der Behörden (Art. 29 VwVG). Die Vorinstanz hat ausführlich begründet, weshalb der Wegweisungsvollzug im vorliegenden Fall zumutbar ist. Entgegen der Auffassung des Beschwerdeführers stützt sie sich nicht auf bestimmte Herkunftsländerinformationen. Solche Informationen befinden sich auch nicht in den Akten. Vielmehr begründet die Vorinstanz ihre Verfügung gestützt auf die Rechtsprechung, wozu sie auch verpflichtet ist. Eine Verletzung des rechtlichen Gehörs liegt nicht vor, weshalb die entsprechenden Anträge abzuweisen sind.</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4.2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dem Beschwerdeführer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konkrete Anhaltspunkte dafür, dass er für den Fall einer Ausschaffung nach Afghanistan dort mit beachtlicher Wahrscheinlichkeit einer nach Art. 3 EMRK oder Art. 1 FoK verbotenen Strafe oder Behandlung ausgesetzt wäre. Der Vollzug der Wegweisung ist demnach zulässig.</w:t>
      </w:r>
    </w:p>
    <w:p>
      <w:r>
        <w:rPr>
          <w:b/>
        </w:rPr>
        <w:t>E. 4.3</w:t>
      </w:r>
    </w:p>
    <w:p>
      <w:r>
        <w:t>Nach Art. 83 Abs. 4 AuG kann der Vollzug für Ausländer unzumutbar sein, wenn sie im Heimat- oder Herkunftsstaat auf Grund von Situationen wie Krieg, Bürgerkrieg, allgemeiner Gewalt und medizinischer Notlage konkret gefährdet sind.</w:t>
      </w:r>
    </w:p>
    <w:p>
      <w:r>
        <w:rPr>
          <w:b/>
        </w:rPr>
        <w:t>E. 4.3.1</w:t>
      </w:r>
    </w:p>
    <w:p>
      <w:r>
        <w:t>Die Vorinstanz verweist auf BVGE 2011/7 zur allgemeinen Lage in Afghanistan sowie auf BVGE 2011/38 zu Zumutbarkeit des Wegweisungsvollzugs nach Herat. Eine Rückkehr nach Herat sei somit nicht generell unzumutbar, sondern könne bei begünstigenden Umständen als zumutbar erachtet werden. Diese begünstigenden Umstände würden beim Beschwerdeführer vorliegen.</w:t>
      </w:r>
    </w:p>
    <w:p>
      <w:r>
        <w:rPr>
          <w:b/>
        </w:rPr>
        <w:t>E. 4.3.2</w:t>
      </w:r>
    </w:p>
    <w:p>
      <w:r>
        <w:t>Der Beschwerdeführer wendet dagegen ein, er verfüge weder über ein tragfähiges soziales Netz noch über eine Schulbildung. Auch stamme er aus einer einkommensschwachen Schicht. Ausserdem spreche die Lageanalyse der Schweizerischen Flüchtlingshilfe eine klare Sprache, nämlich dass die Situation in Herat nicht sicher sei.</w:t>
      </w:r>
    </w:p>
    <w:p>
      <w:r>
        <w:rPr>
          <w:b/>
        </w:rPr>
        <w:t>E. 4.3.3</w:t>
      </w:r>
    </w:p>
    <w:p>
      <w:r>
        <w:t>Hinsichtlich der Zumutbarkeit des Wegweisungsvollzugs hielt das Gericht in BVGE 2011/38 betreffend Herat fest, angesichts des Umstandes, dass die dortige Situation verhältnismässig ruhig sei, in der Stadt selbst keine Aktivitäten bewaffneter Gruppen zu verzeichnen seien und sich die Lage ähnlich wie in Kabul präsentiere, könne die Zumutbarkeit unter gewissen Umständen bejaht werden. Zufolge der konstanten Verschlechterung der Lage über die vergangenen Jahre hinweg und der auch in Herat schwierigen Situation verstehe es sich aber von selbst, dass die bereits in Entscheidungen und Mitteilungen der Schweizerischen Asylrekurskommission [EMARK] 2003 Nr. 10 formulierten Bedingungen in jedem Einzelfall sorgfältig geprüft und erfüllt sein müssen. Unabdingbar sei in erster Linie ein soziales Netz, das sich im Hinblick auf die Aufnahme und Wiedereingliederung des Rückkehrers als tragfähig erweise. Ohne Unterstützung durch Familie oder Bekannte würden die schwierigen Lebensverhältnisse unweigerlich in eine existenzielle beziehungsweise lebensbedrohende Situation führen (vgl. für Herat BVGE 2011/38 E. 4.3.3.1 und 4.3.3.2 S. 818 ff. und für Kabul BVGE 2011/7 E. 9.9 S. 104 ff.). Diese vorstehend angeführte Praxis hat nach wie vor Gültigkeit (vgl. Urteile des BVGer D-4336/2014 vom 28. Mai 2015 und D-3854/2015 vom 3. September 2015). Das European Asylum Support Office (EASO) bezeichnet die Provinz Herat als relativ stabil (European Asylum Support Office (EASO), EASO Country of Origin Information Report: Afghanistan - Security Situation, https://easo.europa.eu/wp-content/uploads/Afghanistan-security-situation-EN.pdf, abgerufen am 14. Oktober 2015). Zwar ist gegenüber der Lageanalyse in BVGE 2011/38 von einem Anstieg der Kriminalität auszugehen. Die jüngeren Berichte lassen indes den Schluss auf eine Situation allgemeiner Gewalt nicht zu, weshalb an der bisherigen Rechtsprechung festzuhalten ist. Das SEM hat in der angefochtenen Verfügung ausführlich und zutreffend begründet, weshalb im konkreten Einzelfall die Voraussetzungen für die Annahme der Zumutbarkeit im Hinblick auf eine Rückkehr in die Stadt Herat als erfüllt zu betrachten sind. Beim Beschwerdeführer handelt es sich um einen jungen, gesunden Mann, der den grössten Teil seines bisherigen Lebens in Herat verbracht hat. Trotz seiner fehlenden Schulbildung hat er als Handwerker bereits mehrere verschiedene Tätigkeiten (Kupferbearbeiter, Maurer, Gipser, Arbeiter in einer Schuhproduktion) ausgeübt. Es ist zu erwarten, dass er bei einer Rückkehr in einer dieser Branchen wieder eine Anstellung finden wird. Entgegen seiner Ausführungen verfügt er in Herat über ein tragfähiges soziales Netz. Zahlreiche Verwandte (Vater, zwei Brüder, vier Halbgeschwister) leben in Herat. Dass dieses Netz funktioniert, hat der Beschwerdeführer selbst eingestanden, als er ausführte, er habe nach seiner Ausschaffung aus dem Iran bei seinem Vater und seinem Bruder gewohnt (SEM-Akten, A20/2 F47). Eine Neubeurteilung der angeführten Praxis zu Herat drängt sich - auch unter Berücksichtigung des vom Beschwerdeführer eingereichten Berichts zur Situation in Herat, der sich im Übrigen kaum mit der Lage in der Stadt Herat auseinandersetzt - nicht auf. Aus den weiteren Beweismitteln (Tazkira, Belege zur Tätigkeit des Bruders sowie dessen Ausreisewunsch) kann der Beschwerdeführer nichts zu seinen Gunsten ableiten. Nach dem Gesagten erweist sich der Vollzug der Wegweisung als zumutbar.</w:t>
      </w:r>
    </w:p>
    <w:p>
      <w:r>
        <w:rPr>
          <w:b/>
        </w:rPr>
        <w:t>E. 4.4</w:t>
      </w:r>
    </w:p>
    <w:p>
      <w:r>
        <w:t>Es obliegt dem Beschwerdeführer, sich bei der zuständigen Vertretung seines Heimatstaats die für eine Rückkehr notwendigen Reisedokumente zu beschaffen (Art. 8 Abs. 4 AsylG und dazu BVGE 2008/34 E. 12). Der Vollzug der Wegweisung ist möglich.</w:t>
      </w:r>
    </w:p>
    <w:p>
      <w:r>
        <w:rPr>
          <w:b/>
        </w:rPr>
        <w:t>E. 4.5</w:t>
      </w:r>
    </w:p>
    <w:p>
      <w:r>
        <w:t>Zusammenfassend hat die Vorinstanz den Wegweisungsvollzug zu Recht als zulässig, zumutbar und möglich bezeichnet. Eine Anordnung der vorläufigen Aufnahme fällt somit ausser Betracht (Art. 83 Abs. 1-4 AuG).</w:t>
      </w:r>
    </w:p>
    <w:p>
      <w:r>
        <w:rPr>
          <w:b/>
        </w:rPr>
        <w:t>E. 5</w:t>
      </w:r>
    </w:p>
    <w:p>
      <w:r>
        <w:t>Nach dem Gesagten ergibt sich, dass die angefochtene Verfügung Bundesrecht nicht verletzt und auch sonst nicht zu beanstanden ist (Art. 106 Abs. 1 AsylG). Die Beschwerde ist abzuweisen.</w:t>
      </w:r>
    </w:p>
    <w:p>
      <w:r>
        <w:rPr>
          <w:b/>
        </w:rPr>
        <w:t>E. 6</w:t>
      </w:r>
    </w:p>
    <w:p>
      <w:r>
        <w:t>Der Beschwerdeführer beantragt die Gewährung der unentgeltlichen Rechtspflege gemäss Art. 65 Abs. 1 VwVG. Da die gesetzlichen Voraussetzungen erfüllt sind, ist dem Gesuch stattzugeben. Es sind demnach keine Verfahrenskosten zu erheben.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