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E-5270/2014 vom 7. Oktober 2014</w:t>
      </w:r>
    </w:p>
    <w:p>
      <w:r>
        <w:t>Bundesverwaltungsgericht, 2014-10-07, DE</w:t>
      </w:r>
    </w:p>
    <w:p>
      <w:r>
        <w:rPr>
          <w:b/>
        </w:rPr>
        <w:t xml:space="preserve">Quelle: </w:t>
      </w:r>
      <w:r>
        <w:t>https://mcp.opencaselaw.ch/entscheid/bvger_E-5270_2014</w:t>
      </w:r>
    </w:p>
    <w:p>
      <w:r>
        <w:t>FR: TAF E-5270/2014 du 7 octobre 2014</w:t>
      </w:r>
    </w:p>
    <w:p>
      <w:r>
        <w:t>IT: TAF E-5270/2014 del 7 ottobre 2014</w:t>
      </w:r>
    </w:p>
    <w:p>
      <w:pPr>
        <w:pStyle w:val="Heading2"/>
      </w:pPr>
      <w:r>
        <w:t>Regeste</w:t>
      </w:r>
    </w:p>
    <w:p>
      <w:r>
        <w:t>Asyl und Wegweisung</w:t>
      </w:r>
    </w:p>
    <w:p>
      <w:pPr>
        <w:pStyle w:val="Heading2"/>
      </w:pPr>
      <w:r>
        <w:t>Erwägungen</w:t>
      </w:r>
    </w:p>
    <w:p>
      <w:r>
        <w:rPr>
          <w:b/>
        </w:rPr>
        <w:t>E. 7</w:t>
      </w:r>
    </w:p>
    <w:p>
      <w:r>
        <w:t>7.1 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rechtskräftig feststeht,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konkrete und glaubhafte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Auf­grund der Akten ist nicht davon auszugehen, dass ihm im Falle einer Rückschiebung nach Guinea eine derartige Gefahr droht. Auch die allgemeine Menschenrechtssituation in Guinea lässt den Wegweisungsvollzug zum heutigen Zeitpunkt nicht als unzulässig erscheinen.</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BVGE 2009/28 E. 9.3.2; EMARK 2005 Nr. 6 E. 6.2, 1998 Nr. 13 E. 5e/aa).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In Guinea herrscht zur Zeit weder Krieg oder Bürgerkrieg, noch liegt eine Situation allgemeiner Gewalt vor, aufgrund derer die Bevölkerung als konkret gefährdet bezeichnet werden müsste. Der Vollzug der Wegweisung ist unter diesen Umständen nicht generell als unzumutbar zu bezeichnen.</w:t>
      </w:r>
    </w:p>
    <w:p>
      <w:r>
        <w:rPr>
          <w:b/>
        </w:rPr>
        <w:t>E. 7.3.2</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Die Bestimmung lässt mithin Raum, bei der Beurteilung der Zumutbarkeit des Wegweisungsvollzuges auch Überlegungen einfliessen zu lassen, die sich unter dem Aspekt des nach Art. 3 Abs. 1 KRK zu beachtenden Kindeswohls ergeben können. Der Minderjährigkeit kommt eine zentrale Bedeutung zu, da nach weiterhin gültiger Praxis (vgl. dazu von der ARK entwickelte Praxis in EMARK 1998 Nr. 13; Urteil des Bundesverwaltungsgerichts E-4429/2008 vom 1. September 2008) im Falle von unbegleiteten Minderjährigen das Kindeswohl im Rahmen der Prüfung der Zumutbarkeit des Wegweisungsvollzugs mitzuberücksichtigen ist (vgl. E.4.2.2), woraus sich gleichzeitig die Verpflichtung ergibt, von Amtes wegen die spezifisch mit der Minderjährigkeit verbundenen Aspekte des Wegweisungsvollzuges abzuklären.</w:t>
      </w:r>
    </w:p>
    <w:p>
      <w:r>
        <w:rPr>
          <w:b/>
        </w:rPr>
        <w:t>E. 7.3.3</w:t>
      </w:r>
    </w:p>
    <w:p>
      <w:r>
        <w:t>Für die Asylbehörden ergibt sich daraus die Verpflichtung, von Amtes wegen abzuklären, welche Situation sich für eine unbegleitete minderjährige Person im Fall einer Heimkehr realistischerweise ergeben könnte. In der Praxis ist deshalb nicht nur abzuklären, ob eine minderjährige Person im Fall der Rückkehr in den Heimat- oder Herkunftsstaat im Sinne von Art. 83 Abs. 4 AuG konkret gefährdet wäre, sondern auch, ob die minderjährige Person zu ihren Eltern oder anderen Angehörigen zurückgeführt werden kann und ob diese in der Lage wären, die altersgemässen Bedürfnisse der minderjährigen Person zu abzudecken. Können die Angehörigen nicht ausfindig gemacht werden oder ergibt sich, dass die Rückkehr zu diesen dem Kindeswohl nicht entspricht, ist weiter abzuklären, ob die minderjährige Person in der Heimat allenfalls in einer geeigneten Anstalt oder bei Drittpersonen untergebracht werden kann. Dabei genügt es nicht, bloss festzustellen, dass im Heimat- oder Herkunftsland Eltern oder andere Angehörige leben beziehungsweise es im betreffenden Land Einrichtungen gebe, die sich um alleinstehende Kinder oder Jugendliche kümmern würden. Es ist vielmehr konkret abzuklären, ob die betreffende minderjährige Person tatsächlich in ihr familiäres Umfeld zurückgeführt werden kann beziehungsweise ob sie - sollte das nicht möglich sein oder nicht dem Kindeswohl entsprechen - anderweitig untergebracht werden kann (vgl. die von der ARK entwickelte Praxis [EMARK 2006 Nr. 24, EMARK 2003 Nr. 5, EMARK 1998 Nr. 13], welche auch vom Bundesverwaltungsgericht weitergeführt wird [Urteile des Bundesverwaltungsgerichts E-4429/2008 vom 1. September 2008 und E-5663/2006 vom 5. Juli 2007]).</w:t>
      </w:r>
    </w:p>
    <w:p>
      <w:r>
        <w:rPr>
          <w:b/>
        </w:rPr>
        <w:t>E. 7.3.4</w:t>
      </w:r>
    </w:p>
    <w:p>
      <w:r>
        <w:t>Das BFM hat daher im Hinblick auf die Anordnung des Vollzugs der Wegweisung vorgängig auch geeignete Massnahmen zu treffen, damit die minderjährige Person bei ihrer Rückkehr von ihren Angehörigen oder von einer Behörde beziehungsweise einer Institution, die in der Lage ist weiterzuhelfen, in Empfang genommen wird,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7.3.5</w:t>
      </w:r>
    </w:p>
    <w:p>
      <w:r>
        <w:t>Vorliegend ist davon auszugehen, dass der Beschwerdeführer minderjährig ist. Er ist im heutigen Zeitpunkt (...) alt. Demzufolge ist das BFM verpflichtet,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Dieser Verpflichtung ist das Bundesamt vorliegend offensichtlich nachgekommen; so ist aus den Akten ersichtlich, dass sich F._______, eine in der Aufnahme von unbegleiteten Minderjährigen erfahrene NGO, schriftlich dazu bereit erklärt hat, den Beschwerdeführer aufzunehmen und ihn bei der Suche nach seinen Familienangehörigen zu unterstützen (vgl. Akten BFM A14/3).</w:t>
      </w:r>
    </w:p>
    <w:p>
      <w:r>
        <w:rPr>
          <w:b/>
        </w:rPr>
        <w:t>E. 7.3.6</w:t>
      </w:r>
    </w:p>
    <w:p>
      <w:r>
        <w:t>Hinsichtlich des Vorbringens der Beschwerdeführer wäre auch direkt der Ebola-Epidemie ausgesetzt, ist darauf hinzuweisen, dass diese Epidemie weder flächendeckend in Guinea ausgebrochen ist noch der Beschwerdeführer eine konkrete diesbezügliche Gefährdung seiner eigenen Person nachgewiesen oder glaubhaft dargetan hat, beschränkt er sich doch auf die allgemeine Aussage, er könne durch diese gefährdet werden. Eine rein hypothetische Gefährdung ist indessen ungenügend, um eine unzumutbare Rückkehr ins Heimatland annehmen zu müssen.</w:t>
      </w:r>
    </w:p>
    <w:p>
      <w:r>
        <w:rPr>
          <w:b/>
        </w:rPr>
        <w:t>E. 7.4</w:t>
      </w:r>
    </w:p>
    <w:p>
      <w:r>
        <w:t>Der Vollzug der Wegweisung des Beschwerdeführers in den Heimatstaat ist schliesslich möglich, da keine Vollzugshindernisse bestehen (Art. 83 Abs. 2 AuG), und es dem Beschwerdeführer obliegt, bei der Beschaffung gültiger Reisepapiere mitzuwirken (vgl. Art. 8 Abs. 4 AsylG und dazu auch BVGE 2008/34 E. 12).</w:t>
      </w:r>
    </w:p>
    <w:p>
      <w:r>
        <w:rPr>
          <w:b/>
        </w:rPr>
        <w:t>E. 7.5</w:t>
      </w:r>
    </w:p>
    <w:p>
      <w:r>
        <w:t>Der vom Bundesamt verfügte Wegweisungsvollzug ist demnach zu bestätigen. 8.Aus diesen Erwägungen ergibt sich, dass die angefochtene Verfügung Bundesrecht nicht verletzt und den rechtserheblichen Sachverhalt richtig und vollständig feststellt (Art. 106 Abs. 1 AsylG). Die Beschwerde ist abzuweisen. 9.Das Gesuch um Gewährung der unentgeltlichen Rechtspflege im Sinne von Art. 65 Abs. 1 VwVG ist infolge Aussichtslosigkeit der gestellten Rechtsbegehren abzuweisen.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