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E-5269/2006 vom 1. Mai 2012</w:t>
      </w:r>
    </w:p>
    <w:p>
      <w:r>
        <w:t>Bundesverwaltungsgericht, 2012-05-01, FR</w:t>
      </w:r>
    </w:p>
    <w:p>
      <w:r>
        <w:rPr>
          <w:b/>
        </w:rPr>
        <w:t xml:space="preserve">Quelle: </w:t>
      </w:r>
      <w:r>
        <w:t>https://mcp.opencaselaw.ch/entscheid/bvger_E-5269_2006</w:t>
      </w:r>
    </w:p>
    <w:p>
      <w:r>
        <w:t>FR: TAF E-5269/2006 du 1 mai 2012</w:t>
      </w:r>
    </w:p>
    <w:p>
      <w:r>
        <w:t>IT: TAF E-5269/2006 del 1 maggio 2012</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recours qui étaient pendants devant l'ancienne Commission sont traités dès le 1er janvier 2007 par le Tribunal dans la mesure où il est compétent (art. 53 al. 2 phr. 1 LTAF).</w:t>
      </w:r>
    </w:p>
    <w:p>
      <w:r>
        <w:rPr>
          <w:b/>
        </w:rPr>
        <w:t>E. 1.3</w:t>
      </w:r>
    </w:p>
    <w:p>
      <w:r>
        <w:t>Le nouveau droit de procédure s'applique (art. 53 al. 2 phr. 2 LTAF).</w:t>
      </w:r>
    </w:p>
    <w:p>
      <w:r>
        <w:rPr>
          <w:b/>
        </w:rPr>
        <w:t>E. 1.4</w:t>
      </w:r>
    </w:p>
    <w:p>
      <w:r>
        <w:t>L'intéressée a qualité pour recourir (art. 48 al. 1 PA). Présenté dans la forme (art. 52 al. 1 PA) et le délai (art. 50 PA, dans sa version antérieure au 1er janvier 2007) prescrits par la loi, le recours est recevable.</w:t>
      </w:r>
    </w:p>
    <w:p>
      <w:r>
        <w:rPr>
          <w:b/>
        </w:rPr>
        <w:t>E. 2</w:t>
      </w:r>
    </w:p>
    <w:p>
      <w:r>
        <w:t>En premier lieu, il y a lieu d'écarter la requête tendant à ce qu'il soit ordonné une expertise médicale pluridisciplinaire (cf. p. 4 in initio du mémoire de recours). En effet, au vu des documents de nature médicale figurant déjà au dossier (cf. let. C, J, O.a et R.a de l'état de fait), l'état de santé de l'intéressée est connu avec suffisamment de précision pour que le Tribunal puisse statuer en connaissance de cause sur le présent recours.</w:t>
      </w:r>
    </w:p>
    <w:p>
      <w:r>
        <w:rPr>
          <w:b/>
        </w:rPr>
        <w:t>E. 3</w:t>
      </w:r>
    </w:p>
    <w:p>
      <w:r>
        <w:t>Par ailleurs, il convient d'écarter préalablement la conclusion tendant au renvoi de la cause à l'ODM (cf. conclusion B/6, p. 1 du mémoire de recours). En effet, aucune mesure d'instruction d'une certaine ampleur qu'il conviendrait de demander à cet office d'effectuer à la place du Tribunal n'est nécessaire ici, la cause étant en état d'être jugée (cf. aussi consid. 2 ci-avant). En outre, la recourante n'a pas fait valoir dans le cadre de son recours une autre raison qui justifierait la cassation de la décision du 25 octobre 2006 et un tel motif ne ressort pas non plus d'un examen d'office du dossier.</w:t>
      </w:r>
    </w:p>
    <w:p>
      <w:r>
        <w:rPr>
          <w:b/>
        </w:rPr>
        <w:t>E. 4.1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qui correspond, sur ce point, à l'art. 29 al. 2 de la Constitution fédérale du 18 avril 1999 (Cst., RS 101) et de l'art. 66 PA, qui prévoit le droit de demander la révision des décisions sur recours (cf. ATAF 2010/27 consid. 2.1 p. 367 et réf. cit.).</w:t>
      </w:r>
    </w:p>
    <w:p>
      <w:r>
        <w:rPr>
          <w:b/>
        </w:rPr>
        <w:t>E. 4.2</w:t>
      </w:r>
    </w:p>
    <w:p>
      <w:r>
        <w:t>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avait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w:t>
      </w:r>
    </w:p>
    <w:p>
      <w:r>
        <w:rPr>
          <w:b/>
        </w:rPr>
        <w:t>E. 4.3</w:t>
      </w:r>
    </w:p>
    <w:p>
      <w:r>
        <w:t>La demande d'adaptation tend à faire adapter par l'autorité de première instance sa décision parce que, depuis son prononcé, s'est créée une situation nouvelle dans les faits qui constitue une modification notable des circonstances. Conformément au principe de la bonne foi, le requérant ne peut pas, par le biais d'une telle demande, invoquer des faits qu'il aurait pu invoquer précédemment en faisant preuve de la diligence requise (cf. ATAF 2010/27 consid. 2.1.1 p. 368 ; Jurisprudence et informations de la Commission suisse de recours en matière d'asile [JICRA] 2000 n° 5 p. 44 ss).</w:t>
      </w:r>
    </w:p>
    <w:p>
      <w:r>
        <w:rPr>
          <w:b/>
        </w:rPr>
        <w:t>E. 5.1</w:t>
      </w:r>
    </w:p>
    <w:p>
      <w:r>
        <w:t>En l'occurrence, l'intéressée a demandé dans son acte du 6 octobre 2006 le réexamen de la décision de l'ODR du 20 août 2004, en ce qui concerne l'exécution du renvoi, en invoquant une altération récente de son état de santé. Dans sa requête, elle a affirmé que l'exécution de son renvoi n'était pas raisonnablement exigible, en avançant deux éléments nouveaux, postérieurs au prononcé de la décision sur recours de la Commission du 18 novembre 2004, à savoir une dysplasie du col de l'utérus et un épisode dépressif sévère, affections documentées par deux rapports médicaux datés des 8 septembre et 3 octobre 2006. Elle a de la sorte allégué une modification notable des circonstances depuis la clôture de la procédure d'asile ordinaire. Il s'agit dès lors là d'une "demande d'adaptation" (cf. consid. 4.2 s. ci-dessus) et les motifs de réexamen invoqués sont, au regard de leur substance, à l'évidence recevables. Partant, c'est à bon droit que l'ODM s'est saisi de cette requête et est entré en matière sur celle-ci.</w:t>
      </w:r>
    </w:p>
    <w:p>
      <w:r>
        <w:rPr>
          <w:b/>
        </w:rPr>
        <w:t>E. 5.2</w:t>
      </w:r>
    </w:p>
    <w:p>
      <w:r>
        <w:t>Il convient dès lors de déterminer si c'est à tort ou à raison que cet office a dénié l'existence d'une modification notable des circonstances rendant l'exécution du renvoi de l'intéressée inexigible et a rejeté sa demande de réexamen.</w:t>
      </w:r>
    </w:p>
    <w:p>
      <w:r>
        <w:rPr>
          <w:b/>
        </w:rPr>
        <w:t>E. 6.1</w:t>
      </w:r>
    </w:p>
    <w:p>
      <w:r>
        <w:t>Selon l'art. 83 al. 4 de la loi fédérale du 16 décembre 2005 sur les étrangers (LEtr, RS 142.20),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notamment aux personnes pour qui un retour reviendrait à les mettre concrètement en danger parce qu'elles ne pourraient plus recevoir les soins dont elles ont besoin ou qui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6.2</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Il ne suffit pas en soi de constater, pour admettre l'inexigibilité de l'exécution du renvoi, qu'un traitement prescrit sur la base de normes suisses ne pourrait être poursuivi dans le pays de l'étranger.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(sur l'ensemble de ces questions, voir ATAF 2009/2 consid. 9.3.2 ainsi que JICRA 2003 n° 24 consid. 5b p. 157 s., et réf. cit.).</w:t>
      </w:r>
    </w:p>
    <w:p>
      <w:r>
        <w:rPr>
          <w:b/>
        </w:rPr>
        <w:t>E. 6.3</w:t>
      </w:r>
    </w:p>
    <w:p>
      <w:r>
        <w:t>Lors de la pondération des aspects humanitaires avec l'intérêt public qui leur est opposé, il convient de tenir compte du principe, consacré à l'art. 3 CDE, selon lequel l'intérêt supérieur de l'enfant doit être une composante primordiale (cf. ATAF 2009/51 consid. 5.6 p. 749 et ATAF 2009/28 consid. 9.3.2. p. 366 s., et jurisp. cit.). Le Tribunal intègre dans la notion de la mise en danger concrète de nombreux éléments comme par exemple l'âge de l'enfant, son degré de maturité, ses liens de dépendance, la nature de ses relations avec les personnes de soutien (proximité, intensité, importance pour son épanouissement), l'engagement ainsi que la capacité de soutien et les ressources de celles-ci.</w:t>
      </w:r>
    </w:p>
    <w:p>
      <w:r>
        <w:rPr>
          <w:b/>
        </w:rPr>
        <w:t>E. 7.1.1</w:t>
      </w:r>
    </w:p>
    <w:p>
      <w:r>
        <w:t>En l'occurrence, s'agissant des troubles psychiques invoqués, un diagnostic d'épisode dépressif sévère sans symptômes psychotiques a été posé en 2006 (cf. let. C de l'état de fait). Toutefois, le Tribunal relève que cette affection a été traitée et que l'intéressée n'a plus besoin d'un suivi psychiatrique (cf. le rapport médical du 24 septembre 2009 et diagnostic figurant dans celui du 29 septembre 2011 ; cf. aussi let. O.a de l'état de fait). Partant, ces troubles psychiques, au vu du dossier, ne sont plus d'actualité.</w:t>
      </w:r>
    </w:p>
    <w:p>
      <w:r>
        <w:rPr>
          <w:b/>
        </w:rPr>
        <w:t>E. 7.1.2</w:t>
      </w:r>
    </w:p>
    <w:p>
      <w:r>
        <w:t>Selon les rapports médicaux des 3 octobre 2006 et 24 septembre 2009, la recourante était atteinte d'une dysplasie du col de l'utérus et devait être suivie à raison de deux contrôles gynécologiques par année (cf. let. C et O.a de l'état de fait). Or, il ressort du rapport médical du 29 septembre 2011 que cette affection a également été traitée, que les frottis de col utérin pratiqués en mars 2011 se sont révélés négatifs et que le suivi gynécologique s'effectue désormais annuellement. Or, un tel contrôle, qui paraît être de routine, peut manifestement être effectué au Cameroun, ce que l'intéressée a du reste expressément reconnu (cf. let. E.b de l'état de fait), et en particulier dans sa ville de provenance (cf. let. I, K et O.a in fine de l'état de fait).</w:t>
      </w:r>
    </w:p>
    <w:p>
      <w:r>
        <w:rPr>
          <w:b/>
        </w:rPr>
        <w:t>E. 7.1.3</w:t>
      </w:r>
    </w:p>
    <w:p>
      <w:r>
        <w:t>S'agissant des autres affections diagnostiquées dans le dernier rapport médical du 29 septembre 2011 (ménométrorragies anémiantes, douleurs lombaires, aphtose buccale, asthénie, syndrome inflammatoire), elles ne sont pas de nature à faire obstacle à l'exécution du renvoi. En ce qui concerne les lombalgies, celles-ci sont certes persistantes, mais ne paraissent pas handicaper notablement la recourante, puisqu'elles ne nécessitent pas un traitement physiothérapeutique ou médical. Quant aux autres affections - même si elles devaient encore être d'actualité - elles ne sont manifestement pas d'une gravité telle que l'exécution du renvoi de l'intéressée devait être inexigible pour cette raison, et ce même si des soins suffisants n'auraient pas été accessibles au Cameroun (cf. en particulier consid. 6.2 in fine ci-dessus).</w:t>
      </w:r>
    </w:p>
    <w:p>
      <w:r>
        <w:rPr>
          <w:b/>
        </w:rPr>
        <w:t>E. 7.1.4</w:t>
      </w:r>
    </w:p>
    <w:p>
      <w:r>
        <w:t>En ce qui concerne le financement des soins qui pourraient encore être nécessaires, le Tribunal relève tout d'abord que ceux-ci ne devraient pas être particulièrement onéreux. En outre, même à supposer que l'intéressée ne puisse pas les supporter elle-même (cf. consid. 7.2. s. ci-après), elle pourrait demander une aide financière aux membres de sa famille restés au Cameroun. En effet, elle n'a jamais contesté - que ce soit durant la procédure d'asile ordinaire ou durant la procédure de réexamen - qu'elle disposait d'un réseau familial dans son Etat d'origine, malgré les remarques répétées dans ce sens des autorités suisses en matière d'asile (cf. à ce sujet let. A.b. in fine, A.c in fine et D de l'état de fait ; cf. aussi let. Q de l'état de fait). Au vu du dossier, au moins les parents de l'intéressée, deux de ses enfants, un oncle, une tante et un cousin vivaient au Cameroun à l'époque de son départ (cf. en particulier pt. 11, pt. 12 p. 3, pt. 15 p. 4 in fine et pt. 16 in fine p. 6 du procès-verbal [pv] de la première audition et les questions n° 85 et 90 du pv de sa deuxième audition) et au vu de l'absence totale de réaction de sa part, il y a lieu d'admettre que tel est encore le cas à l'heure actuelle, à tout le moins pour la majeure partie d'entre eux. Partant, la recourante devrait pouvoir compter sur un soutien suffisant de leur part - en particulier de nature économique - à son retour, ceux-ci ayant notamment eu les moyens de financer son départ (cf. questions n° 80 s. du pv de la deuxième audition).</w:t>
      </w:r>
    </w:p>
    <w:p>
      <w:r>
        <w:rPr>
          <w:b/>
        </w:rPr>
        <w:t>E. 7.2</w:t>
      </w:r>
    </w:p>
    <w:p>
      <w:r>
        <w:t>Par ailleurs, s'agissant des autres éléments nouveaux notables postérieurs au prononcé de la décision sur recours de la Commission du 18 novembre 2004 - à savoir l'intégration de l'intéressée en Suisse (sous l'angle de d'éventuelles difficultés supplémentaires de réinsertion dans le pays d'origine) et le fait qu'elle a maintenant la charge d'un enfant - ils n'apparaissent pas non plus décisifs.</w:t>
      </w:r>
    </w:p>
    <w:p>
      <w:r>
        <w:rPr>
          <w:b/>
        </w:rPr>
        <w:t>E. 7.2.1</w:t>
      </w:r>
    </w:p>
    <w:p>
      <w:r>
        <w:t>Le Tribunal est conscient des difficultés que rencontrera la recourante à son retour au pays, au terme de huit années de séjour en Suisse. Pourtant, il ne saurait sans autre considérer que sa réinstallation serait à ce point ardue que l'exécution du renvoi constituerait pour elle une mesure d'une rigueur inacceptable. En effet, bien que les chances de réinsertion dans le pays d'origine soient rendues plus difficiles du fait de son intégration relativement poussée en Suisse, il s'agit d'un facteur parmi d'autres à prendre en considération dans le cadre de la pondération de l'ensemble des éléments du cas particulier. De plus, il faut rappeler qu'il peut être raisonnablement exigé un certain effort de la part des personnes dont l'âge et l'état de santé doivent leur permettre, en cas de retour, de surmonter les difficultés initiales pour se trouver un logement et un travail qui leur assure un minimum vital (cf. dans ce sens JICRA 1994 n° 18 consid. 4e p. 143). Or, tel est le cas en le cas en l'occurrence. La recourante est jeune, désormais sans problème de santé majeur qui l'invaliderait notablement au point de ne pas pouvoir travailler, et au bénéfice de compétences professionnelles pratiques et théoriques qu'elle a acquises au Cameroun et en Suisse (elle a exercé l'activité de [...] au Cameroun et a notamment travaillé en tant que [...] en Suisse, où elle a aussi effectué des formations dans le domaine de l'hôtellerie et de la restauration, respectivement en tant que caissière [cf. en particulier let. O.b et R.c de l'état de fait]). En outre, elle pourra compter sur sa famille pour la soutenir et l'assister dans l'éducation et l'entretien de son fils né en Suisse - et en particulier sur sa mère, qui vit dans sa ville d'origine et s'occupe déjà de ses deux autres enfants restés au Cameroun. En conclusion, le Tribunal est ainsi fondé à conclure qu'elle disposera des moyens et ressources nécessaires afin d'assurer sa propre subsistance comme celle de son fils, et qu'elle pourra se réinstaller soit dans son lieu d'origine, soit ailleurs au Cameroun - pays qu'elle connaît fort bien pour y avoir passé l'essentiel de son existence et avec lequel elle n'a manifestement pas perdu tout contact (cf. consid. 7.1.4 ; cf. aussi, à titre d'indices, les let. L, M et P de l'état de fait) - et y mener une vie conforme à la dignité humaine.</w:t>
      </w:r>
    </w:p>
    <w:p>
      <w:r>
        <w:rPr>
          <w:b/>
        </w:rPr>
        <w:t>E. 7.2.2</w:t>
      </w:r>
    </w:p>
    <w:p>
      <w:r>
        <w:t>Quant à son fils - à qui il convient de prêter une attention particulière en vertu du bien de l'enfant et des engagements internationaux souscrits par la Suisse (cf. en particulier consid. 6.3 ci-avant) - le Tribunal estime qu'il peut raisonnablement être exigé de lui qu'il aille s'établir avec sa mère au Cameroun sans que son équilibre et son développement futurs ne soient véritablement compromis. En effet, nonobstant sa naissance en Suisse, il est, du fait de son jeune âge, et par le biais de sa mère, forcément imprégné de la culture et du mode de vie de son pays d'origine, et censé pouvoir s'adapter à son nouvel environnement. En outre, comme déjà relevé plus haut (cf. consid. 7.2.1 in fine), il pourra compter sur un encadrement familial sécurisant au Cameroun.</w:t>
      </w:r>
    </w:p>
    <w:p>
      <w:r>
        <w:rPr>
          <w:b/>
        </w:rPr>
        <w:t>E. 7.2.3</w:t>
      </w:r>
    </w:p>
    <w:p>
      <w:r>
        <w:t>En outre, et bien que cela ne soit pas déterminant en l'occurrence, le Tribunal constate que l'intéressée reçoit désormais une contribution d'entretien mensuelle pour son enfant (cf. let. R.b de l'état de fait), somme fort appréciable au regard du coût de la vie au Cameroun. Si un recouvrement forcé des sommes dues n'est pas absolument assuré au cas où le père biologique de l'enfant devait négliger ses obligations financières après le départ de Suisse de l'intéressée et de son fils, des démarches dans ce sens ne paraissent pas dénuées de chances de succès, cas échéant en faisant appel à l'aide des autorités suisses compétentes.</w:t>
      </w:r>
    </w:p>
    <w:p>
      <w:r>
        <w:rPr>
          <w:b/>
        </w:rPr>
        <w:t>E. 7.3</w:t>
      </w:r>
    </w:p>
    <w:p>
      <w:r>
        <w:t>Il s'ensuit que la décision du 25 octobre 2006, par laquelle l'ODM a rejeté la demande de réexamen de sa décision d'exécution du renvoi du 20 août 2004, doit être confirmée et le recours dirigé à son encontre rejeté.</w:t>
      </w:r>
    </w:p>
    <w:p>
      <w:r>
        <w:rPr>
          <w:b/>
        </w:rPr>
        <w:t>E. 8</w:t>
      </w:r>
    </w:p>
    <w:p>
      <w:r>
        <w:t>Au vu de l'issue de la cause, il y a lieu de mettre les frais de procédure, d'un montant de 600 francs,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