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E-5266/2014 vom 23. September 2014</w:t>
      </w:r>
    </w:p>
    <w:p>
      <w:r>
        <w:t>Bundesverwaltungsgericht, 2014-09-23, DE</w:t>
      </w:r>
    </w:p>
    <w:p>
      <w:r>
        <w:rPr>
          <w:b/>
        </w:rPr>
        <w:t xml:space="preserve">Quelle: </w:t>
      </w:r>
      <w:r>
        <w:t>https://mcp.opencaselaw.ch/entscheid/bvger_E-5266_2014</w:t>
      </w:r>
    </w:p>
    <w:p>
      <w:r>
        <w:t>FR: TAF E-5266/2014 du 23 septembre 2014</w:t>
      </w:r>
    </w:p>
    <w:p>
      <w:r>
        <w:t>IT: TAF E-5266/2014 del 23 settembre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BFM ablehnt, das Asylgesuch auf seine Begründetheit hin zu überprüfen (Art. 31a Abs. 1 3 AsylG), ist die Beurteilungskompetenz der Beschwerdeinstanz grundsätzlich auf die Frage beschränkt, ob die Vorinstanz zu Recht auf das Asylgesuch nicht eingetreten ist (vgl. BVGE 2012/4 E. 2.2 m.w.H.).</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4.1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4.2</w:t>
      </w:r>
    </w:p>
    <w:p>
      <w:r>
        <w:t>Vorliegend gelangt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Darauf basierend ist seit dem 1. Januar 2014 in allen Staaten der Europäischen Union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anwendbar (Art. 49 Abs. 2 Dublin-III-VO). Im Notenaustausch vom 14. August 2013 zwischen der Schweiz und der Europäischen Union betreffend die Übernahme der Dublin-III-VO (Weiterentwicklung des Dublin/Eurodac-Besitzstands) hat der Bundesrat der Europäischen Union mitgeteilt, dass die Schweiz den Inhalt dieses Rechtsakts akzeptiere und in ihre innerstaatliche Rechtsordnung umsetzen werde. Mit Bundesratsbeschluss vom 18. Dezember 2013 wurde festgehalten, die Dublin-III-VO werde ab dem 1. Januar 2014 vorläufig angewendet, mit Ausnahme deren Art. 18 Abs. 2, Art. 27 Abs. 3 und Art. 28. Folglich kommt, gestützt auf das DAA, in der Schweiz ab dem 1. Januar 2014 die Dublin-III-VO zur Anwendung, soweit gemäss Art. 49 Abs. 2 Dublin-III-VO nicht die Bestimmung des zuständigen Mitgliedstaats nach den Kriterien der Dublin-II-VO vorbehalten bleibt.</w:t>
      </w:r>
    </w:p>
    <w:p>
      <w:r>
        <w:rPr>
          <w:b/>
        </w:rPr>
        <w:t>E. 4.3</w:t>
      </w:r>
    </w:p>
    <w:p>
      <w:r>
        <w:t>Das Asylgesuch in der Schweiz datiert vom 16. Mai 2014. Mithin ist neues Dublin-Recht anzuwenden.</w:t>
      </w:r>
    </w:p>
    <w:p>
      <w:r>
        <w:rPr>
          <w:b/>
        </w:rPr>
        <w:t>E. 5.1</w:t>
      </w:r>
    </w:p>
    <w:p>
      <w:r>
        <w:t>Die Vorinstanz hält in der angefochtenen Verfügung fest, der Beschwerdeführer habe im Rahmen der summarischen Befragung zur Person (BzP) angegeben, im Mai 2014 per Boot von (...) nach Italien gereist zu sein, von wo aus er in die Schweiz gelangt sei. Nachdem die italienischen Behörden innerhalb der festgelegten Frist zum Übernahmeersuchen des BFM keine Stellung genommen hätten, sei gemäss dem DAA und unter Anwendung von Art. 22 Dublin-III-VO die Zuständigkeit zur Durchführung des Asyl- und Wegweisungsverfahrens am 20. August 2014 an Italien übergegangen. Der anlässlich der Gewährung des rechtlichen Gehörs geäusserte Wunsch nach einem Verbleib in der Schweiz habe keinen Einfluss auf die Zuständigkeit für das Asyl- und Wegweisungsverfahren. Aus dem Umstand, dass er über einen Familienangehörigen (Bruder) in der Schweiz verfüge, könne er nichts zu seinen Gunsten ableiten. Auf sein Asylgesuch werde nicht eingetreten.</w:t>
      </w:r>
    </w:p>
    <w:p>
      <w:r>
        <w:rPr>
          <w:b/>
        </w:rPr>
        <w:t>E. 5.2</w:t>
      </w:r>
    </w:p>
    <w:p>
      <w:r>
        <w:t>In der Rechtsmitteleingabe bringt der Beschwerdeführer vor, er habe seinen Fingerabdruck innerhalb des Dublinraumes erstmals in der Schweiz gemacht. Es sei ihm unverständlich, aus welchem Grund er die Schweiz verlassen müsse.</w:t>
      </w:r>
    </w:p>
    <w:p>
      <w:r>
        <w:rPr>
          <w:b/>
        </w:rPr>
        <w:t>E. 6.1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6.2</w:t>
      </w:r>
    </w:p>
    <w:p>
      <w:r>
        <w:t>Wird auf der Grundlage von Beweismitteln oder Indizien gemäss den beiden in Artikel 22 Absatz 3 der Dublin-III-VO genannten Verzeichnissen, einschliesslich der Daten nach der Verordnung (EU) Nr. 603/2013 über die Errichtung von "Eurodac"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(vgl. Art. 13 Abs. 1 Dublin-III-VO). Der Beschwerdeführer gab bei der BzP an, die italienischen Behörden hätten ihn im Mai 2014 auf dem offenen Meer aufgegriffen, fotografiert und nach Sizilien gebracht, von wo aus er sich umgehend in die Schweiz begeben habe. Damit steht unbestrittenermassen fest, dass er - von (...) kommend - die Grenze von Italien illegal überschritten hat. Ob ihm die italienischen Behörden dabei Fingerabdrücke abgenommen haben, ist in diesem Zusammenhang nicht von Bedeutung. Nachdem diese das Übernahmeersuchen des BFM vom 19. Juni 2014 unbeantwortet liessen, womit sie die Zuständigkeit Italiens implizit anerkannten (Art. 22 Abs. 7 Dublin-III-VO), ging das BFM zu Recht von der Zuständigkeit Italiens für die Durchführung des Asyl- und Wegweisungsverfahrens aus.</w:t>
      </w:r>
    </w:p>
    <w:p>
      <w:r>
        <w:rPr>
          <w:b/>
        </w:rPr>
        <w:t>E. 6.3</w:t>
      </w:r>
    </w:p>
    <w:p>
      <w:r>
        <w:t>Weder die bei der Gewährung des rechtlichen Gehörs geäusserten Einwände noch die auf Beschwerdeebene geltend gemachten Vorbringen des Beschwerdeführers vermögen aufzuzeigen, inwiefern die Vorinstanz mit der Feststellung der Zuständigkeit von Italien Bundesrecht verletzt haben sollte. Sie sind auch nicht geeignet, einen Anlass zur Ausübung des Selbsteintrittsrechts der Schweiz gemäss Art. 17 Dublin-III-VO zu begründen. Die Dublin-III-VO räumt den Schutzsuchenden kein Recht ein, den ihren Antrag prüfenden Staat selber auszuwählen (vgl. BVGE 2010/45 E. 8.3), weshalb der Beschwerdeführer nichts zu seinen Gunsten daraus abzuleiten vermag, dass die Schweiz und nicht Italien sein Zielland gewesen sein soll. Soweit er sich im Verfahren auf seinen in der Schweiz wohnhaften Bruder beruft, hat das BFM zu Recht festgehalten, dass Geschwister nicht als Familienangehörige im Sinne von Art. 2 Bst. g Dublin-III-VO (insbesondere Ehegatte, minderjährige Kinder) gelten. Nachdem ein besonderes Abhängigkeitsverhältnis zu diesem weder dargelegt noch den Akten zu entnehmen wäre, lässt sich aus der Anwesenheit des Bruders in der Schweiz kein Zuständigkeitskriterium ableiten und ist die Anwendung der Bestimmung von Art. 17 Abs. 2 Dublin-III-VO nicht geboten.</w:t>
      </w:r>
    </w:p>
    <w:p>
      <w:r>
        <w:rPr>
          <w:b/>
        </w:rPr>
        <w:t>E. 6.4</w:t>
      </w:r>
    </w:p>
    <w:p>
      <w:r>
        <w:t>Betreffend das Vorbringen anlässlich der Gewährung des rechtlichen Gehörs zur Zuständigkeit Italiens, seine Landsleute seien in Italien obdachlos und man kümmere sich nicht um sie, ist darauf hinzuweisen, dass Italien Signatarstaat der EMRK, des Abkommens vom 28. Juli 1951 über die Rechtsstellung der Flüchtlinge (FK, SR 0.142.30) und des Übereinkommens vom 10. Dezember 1984 gegen Folter und andere grausame, unmenschliche oder erniedrigende Behandlung oder Strafe (FoK, SR 0.105) ist, und keine konkreten Hinweise dafür bestehen, dass sich Italien im konkreten Fall nicht an die daraus resultierenden Verpflichtungen hält. Unter dem Dublin-System besteht sodann die Vermutung, dass alle Mitgliedstaaten beziehungsweise staatsvertraglich assoziierten Staaten die Rechte der EMRK garantieren und die Zuständigkeitsordnung selbst ein EMRK-konformes Ergebnis liefert. Zwar steht das italienische Fürsorgesystem für Asylsuchende in gewissen Punkten in der Kritik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Ziffer 5: "Reception conditions for asylum-seekers"). Nach den Erkenntnissen des Bundesverwaltungsgerichts werden Dublin-Rückkehrende sowie verletzliche Personen bezüglich Unterbringung von den italienischen Behörden indes bevorzugt behandelt. Zudem nehmen sich auch private Hilfsorganisationen der Betreuung von Asylsuchenden und Flüchtlingen an. In seiner neusten Rechtsprechung hat auch der Europäische Gerichtshof für Menschenrechte (EGMR) festgestellt,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Es liegen somit keine Anhaltspunkte vor, dass Italien seine staatsvertraglichen Verpflichtungen nicht einhalten und der Beschwerdeführer unter Missachtung von Art. 3 EMRK einer menschenunwürdigen oder erniedrigenden Behandlung ausgesetzt wäre oder dass das flüchtlingsrechtliche Non-refoulement-Gebot verletzt würde. Für einen Selbsteintritt der Schweiz besteht keine Veranlassung</w:t>
      </w:r>
    </w:p>
    <w:p>
      <w:r>
        <w:rPr>
          <w:b/>
        </w:rPr>
        <w:t>E. 6.5</w:t>
      </w:r>
    </w:p>
    <w:p>
      <w:r>
        <w:t>Italien ist somit für die Prüfung des Asylgesuchs des Beschwerdeführers gemäss der Dublin-III-VO zuständig und entsprechend verpflichtet, ihn gemäss Art. 18 Abs. 1 Bst. a Dublin-III-VO aufzunehmen. Das BFM ist in Anwendung von Art. 31a Abs. 1 Bst. b AsylG zu Recht auf das Asylgesuch des Beschwerdeführers nicht eingetreten und hat, da er nicht im Besitz einer gültigen Aufenthalts- oder Niederlassungsbewilligung ist, ebenfalls zu Recht in Anwendung von Art. 44 AsylG die Überstellung nach Italien angeordnet (Art. 32 Bst. a AsylV 1).</w:t>
      </w:r>
    </w:p>
    <w:p>
      <w:r>
        <w:rPr>
          <w:b/>
        </w:rPr>
        <w:t>E. 6.6</w:t>
      </w:r>
    </w:p>
    <w:p>
      <w:r>
        <w:t>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(Art. 106 Abs. 1 AsylG). Die Beschwerde ist abzuweisen.</w:t>
      </w:r>
    </w:p>
    <w:p>
      <w:r>
        <w:rPr>
          <w:b/>
        </w:rPr>
        <w:t>E. 8</w:t>
      </w:r>
    </w:p>
    <w:p>
      <w:r>
        <w:t>Das Beschwerdeverfahren ist mit vorliegendem Urteil abgeschlossen, weshalb der Antrag auf Wiederherstellung der aufschiebenden Wirkung gegenstandslos geworden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